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1"/>
        <w:keepLines w:val="1"/>
        <w:pBdr>
          <w:top w:space="0" w:sz="0" w:val="nil"/>
          <w:left w:space="0" w:sz="0" w:val="nil"/>
          <w:bottom w:space="0" w:sz="0" w:val="nil"/>
          <w:right w:space="0" w:sz="0" w:val="nil"/>
          <w:between w:space="0" w:sz="0" w:val="nil"/>
        </w:pBdr>
        <w:spacing w:after="0" w:before="480" w:lineRule="auto"/>
        <w:rPr>
          <w:rFonts w:ascii="Cambria" w:cs="Cambria" w:eastAsia="Cambria" w:hAnsi="Cambria"/>
          <w:b w:val="1"/>
          <w:bCs w:val="1"/>
          <w:color w:val="ff6540"/>
          <w:sz w:val="28"/>
          <w:szCs w:val="28"/>
        </w:rPr>
      </w:pPr>
      <w:r w:rsidDel="00000000" w:rsidR="00000000" w:rsidRPr="00000000">
        <w:rPr>
          <w:rFonts w:ascii="Cambria" w:cs="Cambria" w:eastAsia="Cambria" w:hAnsi="Cambria"/>
          <w:b w:val="1"/>
          <w:bCs w:val="1"/>
          <w:color w:val="ff6540"/>
          <w:sz w:val="28"/>
          <w:szCs w:val="28"/>
          <w:rtl w:val="0"/>
        </w:rPr>
        <w:t xml:space="preserve">Table of Contents</w:t>
      </w:r>
    </w:p>
    <w:sdt>
      <w:sdtPr>
        <w:id w:val="2117995809"/>
        <w:docPartObj>
          <w:docPartGallery w:val="Table of Contents"/>
          <w:docPartUnique w:val="1"/>
        </w:docPartObj>
      </w:sdtPr>
      <w:sdtContent>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dot" w:pos="9396"/>
            </w:tabs>
            <w:spacing w:after="100" w:before="0" w:line="276"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8vdhkekgo8i9">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1.</w:t>
              <w:tab/>
              <w:t xml:space="preserve">Core principle</w:t>
              <w:tab/>
              <w:t xml:space="preserve">3</w:t>
            </w:r>
          </w:hyperlink>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dot" w:pos="9396"/>
            </w:tabs>
            <w:spacing w:after="100" w:before="0" w:line="276"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1yg9mbydko00">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2.</w:t>
              <w:tab/>
              <w:t xml:space="preserve">Introduction and alerts to be sent to GAR</w:t>
              <w:tab/>
              <w:t xml:space="preserve">3</w:t>
            </w:r>
          </w:hyperlink>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dot" w:pos="9396"/>
            </w:tabs>
            <w:spacing w:after="100" w:before="0" w:line="276"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qbzfm3bid2h">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3.</w:t>
              <w:tab/>
              <w:t xml:space="preserve">Scope</w:t>
              <w:tab/>
              <w:t xml:space="preserve">5</w:t>
            </w:r>
          </w:hyperlink>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bookmarkStart w:colFirst="0" w:colLast="0" w:name="_heading=h.8f7s8vkr8t3p" w:id="0"/>
          <w:bookmarkEnd w:id="0"/>
          <w:hyperlink w:anchor="_heading=h.xifeob3tnyxn">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a.</w:t>
              <w:tab/>
              <w:t xml:space="preserve">R10000 – Net sales</w:t>
              <w:tab/>
              <w:t xml:space="preserve">6</w:t>
            </w:r>
          </w:hyperlink>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9q4aqgqpndm0">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b.</w:t>
              <w:tab/>
              <w:t xml:space="preserve">R10600 – Royalties received according to sales</w:t>
              <w:tab/>
              <w:t xml:space="preserve">8</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avtcbne1ub36">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c.</w:t>
              <w:tab/>
              <w:t xml:space="preserve">R11200/R11400/R11500 – Other revenue on activities</w:t>
              <w:tab/>
              <w:t xml:space="preserve">8</w:t>
            </w:r>
          </w:hyperlink>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88q55azaifuu">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d.</w:t>
              <w:tab/>
              <w:t xml:space="preserve">BFC accounts – Statement of financial position</w:t>
              <w:tab/>
              <w:t xml:space="preserve">9</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dot" w:pos="9396"/>
            </w:tabs>
            <w:spacing w:after="100" w:before="0" w:line="276"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5maq1a5ir2og">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4.</w:t>
              <w:tab/>
              <w:t xml:space="preserve">The “five step” approach</w:t>
              <w:tab/>
              <w:t xml:space="preserve">10</w:t>
            </w:r>
          </w:hyperlink>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rzv1gwy78a49">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a.</w:t>
              <w:tab/>
              <w:t xml:space="preserve">Step one – Identify the contract</w:t>
              <w:tab/>
              <w:t xml:space="preserve">10</w:t>
            </w:r>
          </w:hyperlink>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p1zj1wd8v1mb">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b.</w:t>
              <w:tab/>
              <w:t xml:space="preserve">Step two – Identify separate performance obligations in the contract</w:t>
              <w:tab/>
              <w:t xml:space="preserve">11</w:t>
            </w:r>
          </w:hyperlink>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ovgig0jzrf6c">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c.</w:t>
              <w:tab/>
              <w:t xml:space="preserve">Step three – Determine the transaction price</w:t>
              <w:tab/>
              <w:t xml:space="preserve">13</w:t>
            </w:r>
          </w:hyperlink>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aofya4ohrrc5">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d.</w:t>
              <w:tab/>
              <w:t xml:space="preserve">Step four – Allocate the transaction price to the performance obligations</w:t>
              <w:tab/>
              <w:t xml:space="preserve">20</w:t>
            </w:r>
          </w:hyperlink>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b12bxfuledq7">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1.</w:t>
              <w:tab/>
              <w:t xml:space="preserve">Estimate the stand-alone selling prices</w:t>
              <w:tab/>
              <w:t xml:space="preserve">21</w:t>
            </w:r>
          </w:hyperlink>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e38o2ukbrhx8">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2.</w:t>
              <w:tab/>
              <w:t xml:space="preserve">Allocate the transaction price</w:t>
              <w:tab/>
              <w:t xml:space="preserve">21</w:t>
            </w:r>
          </w:hyperlink>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f71uj5vg2xoc">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3.</w:t>
              <w:tab/>
              <w:t xml:space="preserve">Exception to the relative stand-alone selling price allocation: allocation of a discount</w:t>
              <w:tab/>
              <w:t xml:space="preserve">21</w:t>
            </w:r>
          </w:hyperlink>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ohndobz68p3v">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4.</w:t>
              <w:tab/>
              <w:t xml:space="preserve">Exception to the relative stand-alone selling price allocation: allocation of a variable consideration</w:t>
              <w:tab/>
              <w:t xml:space="preserve">23</w:t>
            </w:r>
          </w:hyperlink>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9rb5nc1pvn75">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e.</w:t>
              <w:tab/>
              <w:t xml:space="preserve">Step five – Recognize revenue when each performance obligation is satisfied</w:t>
              <w:tab/>
              <w:t xml:space="preserve">24</w:t>
            </w:r>
          </w:hyperlink>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ua741fo5neo5">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1.</w:t>
              <w:tab/>
              <w:t xml:space="preserve">Performance obligations satisfied over time</w:t>
              <w:tab/>
              <w:t xml:space="preserve">24</w:t>
            </w:r>
          </w:hyperlink>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t1w6kuu380i1">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2.</w:t>
              <w:tab/>
              <w:t xml:space="preserve">Performance obligations satisfied at a point in time</w:t>
              <w:tab/>
              <w:t xml:space="preserve">26</w:t>
            </w:r>
          </w:hyperlink>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dot" w:pos="9396"/>
            </w:tabs>
            <w:spacing w:after="100" w:before="0" w:line="276"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4xer7fte6apj">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5.</w:t>
              <w:tab/>
              <w:t xml:space="preserve">Other topics</w:t>
              <w:tab/>
              <w:t xml:space="preserve">26</w:t>
            </w:r>
          </w:hyperlink>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dgcb0cgjk7u8">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a.</w:t>
              <w:tab/>
              <w:t xml:space="preserve">Customer take or pay obligations</w:t>
              <w:tab/>
              <w:t xml:space="preserve">26</w:t>
            </w:r>
          </w:hyperlink>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n6a78y47r4t1">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b.</w:t>
              <w:tab/>
              <w:t xml:space="preserve">Non-monetary exchanges (“swaps”)</w:t>
              <w:tab/>
              <w:t xml:space="preserve">27</w:t>
            </w:r>
          </w:hyperlink>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5aay49s4vro">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1.</w:t>
              <w:tab/>
              <w:t xml:space="preserve">Scope</w:t>
              <w:tab/>
              <w:t xml:space="preserve">27</w:t>
            </w:r>
          </w:hyperlink>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a1xd5wt6z6d4">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2.</w:t>
              <w:tab/>
              <w:t xml:space="preserve">Accounting treatment</w:t>
              <w:tab/>
              <w:t xml:space="preserve">27</w:t>
            </w:r>
          </w:hyperlink>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4hxdz7l6p0mo">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3.</w:t>
              <w:tab/>
              <w:t xml:space="preserve">Accounting entries</w:t>
              <w:tab/>
              <w:t xml:space="preserve">27</w:t>
            </w:r>
          </w:hyperlink>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4fynip4aje2p">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a.</w:t>
              <w:tab/>
              <w:t xml:space="preserve">Swap example 1 - Sale followed by a purchase</w:t>
              <w:tab/>
              <w:t xml:space="preserve">27</w:t>
            </w:r>
          </w:hyperlink>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15jp5x72xg9h">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b.</w:t>
              <w:tab/>
              <w:t xml:space="preserve">Swap example 2 - Purchase followed by a sale</w:t>
              <w:tab/>
              <w:t xml:space="preserve">29</w:t>
            </w:r>
          </w:hyperlink>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peg8ujw8vrza">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4.</w:t>
              <w:tab/>
              <w:t xml:space="preserve">Treatment of the temporary swap account at the end of the accounting period - Deduction from inventory</w:t>
              <w:tab/>
              <w:t xml:space="preserve">31</w:t>
            </w:r>
          </w:hyperlink>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y3mrshdcodka">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5.</w:t>
              <w:tab/>
              <w:t xml:space="preserve">Off balance sheet commitments that must be disclosed if a purchase transaction under a swap contract has not been completed at the period end date</w:t>
              <w:tab/>
              <w:t xml:space="preserve">31</w:t>
            </w:r>
          </w:hyperlink>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jztnrjsce5zg">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c.</w:t>
              <w:tab/>
              <w:t xml:space="preserve">Contract modifications</w:t>
              <w:tab/>
              <w:t xml:space="preserve">31</w:t>
            </w:r>
          </w:hyperlink>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v9ztestfgmy5">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6.</w:t>
              <w:tab/>
              <w:t xml:space="preserve">Contract modification represents a separate contract</w:t>
              <w:tab/>
              <w:t xml:space="preserve">31</w:t>
            </w:r>
          </w:hyperlink>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9g9nzuho4vn7">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7.</w:t>
              <w:tab/>
              <w:t xml:space="preserve">Contract modification is not a separate contract and goods/services are distinct</w:t>
              <w:tab/>
              <w:t xml:space="preserve">32</w:t>
            </w:r>
          </w:hyperlink>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m7kohtquzmqu">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8.</w:t>
              <w:tab/>
              <w:t xml:space="preserve">Contract modification is not a separate contract and goods/services are not distinct</w:t>
              <w:tab/>
              <w:t xml:space="preserve">33</w:t>
            </w:r>
          </w:hyperlink>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y990qq24na2w">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d.</w:t>
              <w:tab/>
              <w:t xml:space="preserve">Customer options that provide a material right - vouchers</w:t>
              <w:tab/>
              <w:t xml:space="preserve">34</w:t>
            </w:r>
          </w:hyperlink>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mwtjhittytr7">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Contract renewal rights granted to customer at a discount contingent on purchases under the existing contract</w:t>
              <w:tab/>
              <w:t xml:space="preserve">35</w:t>
            </w:r>
          </w:hyperlink>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dpin13gd5bt">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e.</w:t>
              <w:tab/>
              <w:t xml:space="preserve">Repurchase agreements</w:t>
              <w:tab/>
              <w:t xml:space="preserve">36</w:t>
            </w:r>
          </w:hyperlink>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nozjdcqou3oi">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1.</w:t>
              <w:tab/>
              <w:t xml:space="preserve">Forward or call option held by the entity</w:t>
              <w:tab/>
              <w:t xml:space="preserve">36</w:t>
            </w:r>
          </w:hyperlink>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i5trjpmitsnl">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2.</w:t>
              <w:tab/>
              <w:t xml:space="preserve">Put option held by the customer</w:t>
              <w:tab/>
              <w:t xml:space="preserve">37</w:t>
            </w:r>
          </w:hyperlink>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cj5ffu31k1c4">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f.</w:t>
              <w:tab/>
              <w:t xml:space="preserve">Contract costs</w:t>
              <w:tab/>
              <w:t xml:space="preserve">38</w:t>
            </w:r>
          </w:hyperlink>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tij3wlwfc6g9">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Incremental costs of obtaining a contract</w:t>
              <w:tab/>
              <w:t xml:space="preserve">38</w:t>
            </w:r>
          </w:hyperlink>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96"/>
            </w:tabs>
            <w:spacing w:after="100" w:before="0" w:line="276" w:lineRule="auto"/>
            <w:ind w:left="44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70d9taqd55gp">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Costs to fulfil a contract</w:t>
              <w:tab/>
              <w:t xml:space="preserve">38</w:t>
            </w:r>
          </w:hyperlink>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8fxbi7o43rnk">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g.</w:t>
              <w:tab/>
              <w:t xml:space="preserve">Warranties</w:t>
              <w:tab/>
              <w:t xml:space="preserve">39</w:t>
            </w:r>
          </w:hyperlink>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7b3s1akos3lg">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h.</w:t>
              <w:tab/>
              <w:t xml:space="preserve">Consignment arrangements</w:t>
              <w:tab/>
              <w:t xml:space="preserve">39</w:t>
            </w:r>
          </w:hyperlink>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lzca1ayfob88">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i.</w:t>
              <w:tab/>
              <w:t xml:space="preserve">Bill-and-hold arrangements</w:t>
              <w:tab/>
              <w:t xml:space="preserve">41</w:t>
            </w:r>
          </w:hyperlink>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bqzrdwsda50x">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j.</w:t>
              <w:tab/>
              <w:t xml:space="preserve">Safety stocks</w:t>
              <w:tab/>
              <w:t xml:space="preserve">43</w:t>
            </w:r>
          </w:hyperlink>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la8dbhtxtf1m">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k.</w:t>
              <w:tab/>
              <w:t xml:space="preserve">Royalties related to licenses of intellectual property</w:t>
              <w:tab/>
              <w:t xml:space="preserve">43</w:t>
            </w:r>
          </w:hyperlink>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9dhdp2n0t513">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l.</w:t>
              <w:tab/>
              <w:t xml:space="preserve">Principal vs agent</w:t>
              <w:tab/>
              <w:t xml:space="preserve">43</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80"/>
              <w:tab w:val="right" w:leader="dot" w:pos="9396"/>
            </w:tabs>
            <w:spacing w:after="100" w:before="0" w:line="276" w:lineRule="auto"/>
            <w:ind w:left="22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fzkseb61agcy">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m.</w:t>
              <w:tab/>
              <w:t xml:space="preserve">Trainings, technical services, hot line, technical assistance, packaging… provided to customer</w:t>
              <w:tab/>
              <w:t xml:space="preserve">44</w:t>
            </w:r>
          </w:hyperlink>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96"/>
            </w:tabs>
            <w:spacing w:after="100" w:before="0" w:line="276"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hyperlink w:anchor="_heading=h.x5adrjx6pbpl">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Document tracking – Versions</w:t>
              <w:tab/>
              <w:t xml:space="preserve">45</w:t>
            </w:r>
          </w:hyperlink>
          <w:r w:rsidDel="00000000" w:rsidR="00000000" w:rsidRPr="00000000">
            <w:rPr>
              <w:rtl w:val="0"/>
            </w:rPr>
          </w:r>
        </w:p>
        <w:p w:rsidR="00000000" w:rsidDel="00000000" w:rsidP="00000000" w:rsidRDefault="00000000" w:rsidRPr="00000000" w14:paraId="00000033">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4">
      <w:pPr>
        <w:pStyle w:val="Heading1"/>
        <w:ind w:left="720" w:firstLine="0"/>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pStyle w:val="Heading1"/>
        <w:numPr>
          <w:ilvl w:val="0"/>
          <w:numId w:val="1"/>
        </w:numPr>
        <w:rPr>
          <w:color w:val="ff6540"/>
        </w:rPr>
      </w:pPr>
      <w:bookmarkStart w:colFirst="0" w:colLast="0" w:name="_heading=h.8vdhkekgo8i9" w:id="1"/>
      <w:bookmarkEnd w:id="1"/>
      <w:r w:rsidDel="00000000" w:rsidR="00000000" w:rsidRPr="00000000">
        <w:rPr>
          <w:rtl w:val="0"/>
        </w:rPr>
        <w:t xml:space="preserve">Core principle</w:t>
      </w:r>
      <w:r w:rsidDel="00000000" w:rsidR="00000000" w:rsidRPr="00000000">
        <w:rPr>
          <w:rtl w:val="0"/>
        </w:rPr>
      </w:r>
    </w:p>
    <w:p w:rsidR="00000000" w:rsidDel="00000000" w:rsidP="00000000" w:rsidRDefault="00000000" w:rsidRPr="00000000" w14:paraId="00000037">
      <w:pPr>
        <w:jc w:val="both"/>
        <w:rPr>
          <w:sz w:val="24"/>
          <w:szCs w:val="24"/>
        </w:rPr>
      </w:pPr>
      <w:r w:rsidDel="00000000" w:rsidR="00000000" w:rsidRPr="00000000">
        <w:rPr>
          <w:sz w:val="24"/>
          <w:szCs w:val="24"/>
          <w:rtl w:val="0"/>
        </w:rPr>
        <w:t xml:space="preserve">In this document, we outline the principles an entity must apply to measure and recognize revenue.  The core principle is that an entity shall recognize revenue to depict the transfer of promised goods or services to customers in an amount that reflects the consideration to which the entity expects to be entitled in exchange for transferring those goods or services.  The principles of IFRS 15 </w:t>
      </w:r>
      <w:r w:rsidDel="00000000" w:rsidR="00000000" w:rsidRPr="00000000">
        <w:rPr>
          <w:i w:val="1"/>
          <w:iCs w:val="1"/>
          <w:sz w:val="24"/>
          <w:szCs w:val="24"/>
          <w:rtl w:val="0"/>
        </w:rPr>
        <w:t xml:space="preserve">Revenue from Contracts with Customers</w:t>
      </w:r>
      <w:r w:rsidDel="00000000" w:rsidR="00000000" w:rsidRPr="00000000">
        <w:rPr>
          <w:sz w:val="24"/>
          <w:szCs w:val="24"/>
          <w:rtl w:val="0"/>
        </w:rPr>
        <w:t xml:space="preserve"> will be applied following a “five step approach” (see below). </w:t>
      </w:r>
    </w:p>
    <w:p w:rsidR="00000000" w:rsidDel="00000000" w:rsidP="00000000" w:rsidRDefault="00000000" w:rsidRPr="00000000" w14:paraId="00000038">
      <w:pPr>
        <w:pStyle w:val="Heading1"/>
        <w:numPr>
          <w:ilvl w:val="0"/>
          <w:numId w:val="1"/>
        </w:numPr>
        <w:ind w:left="720" w:hanging="360"/>
        <w:rPr/>
      </w:pPr>
      <w:bookmarkStart w:colFirst="0" w:colLast="0" w:name="_heading=h.1yg9mbydko00" w:id="2"/>
      <w:bookmarkEnd w:id="2"/>
      <w:r w:rsidDel="00000000" w:rsidR="00000000" w:rsidRPr="00000000">
        <w:rPr>
          <w:rtl w:val="0"/>
        </w:rPr>
        <w:t xml:space="preserve">Introduction and alerts to be sent to GAR</w:t>
      </w:r>
    </w:p>
    <w:p w:rsidR="00000000" w:rsidDel="00000000" w:rsidP="00000000" w:rsidRDefault="00000000" w:rsidRPr="00000000" w14:paraId="00000039">
      <w:pPr>
        <w:jc w:val="both"/>
        <w:rPr>
          <w:strike w:val="1"/>
          <w:sz w:val="24"/>
          <w:szCs w:val="24"/>
        </w:rPr>
      </w:pPr>
      <w:r w:rsidDel="00000000" w:rsidR="00000000" w:rsidRPr="00000000">
        <w:rPr>
          <w:sz w:val="24"/>
          <w:szCs w:val="24"/>
          <w:rtl w:val="0"/>
        </w:rPr>
        <w:t xml:space="preserve">IFRS 15</w:t>
      </w:r>
      <w:r w:rsidDel="00000000" w:rsidR="00000000" w:rsidRPr="00000000">
        <w:rPr>
          <w:i w:val="1"/>
          <w:iCs w:val="1"/>
          <w:sz w:val="24"/>
          <w:szCs w:val="24"/>
          <w:rtl w:val="0"/>
        </w:rPr>
        <w:t xml:space="preserve"> Revenue from Contracts with Customers</w:t>
      </w:r>
      <w:r w:rsidDel="00000000" w:rsidR="00000000" w:rsidRPr="00000000">
        <w:rPr>
          <w:sz w:val="24"/>
          <w:szCs w:val="24"/>
          <w:rtl w:val="0"/>
        </w:rPr>
        <w:t xml:space="preserve"> is effective as from January 1, 2018.  </w:t>
      </w:r>
      <w:r w:rsidDel="00000000" w:rsidR="00000000" w:rsidRPr="00000000">
        <w:rPr>
          <w:rtl w:val="0"/>
        </w:rPr>
      </w:r>
    </w:p>
    <w:p w:rsidR="00000000" w:rsidDel="00000000" w:rsidP="00000000" w:rsidRDefault="00000000" w:rsidRPr="00000000" w14:paraId="0000003A">
      <w:pPr>
        <w:jc w:val="both"/>
        <w:rPr>
          <w:sz w:val="24"/>
          <w:szCs w:val="24"/>
        </w:rPr>
      </w:pPr>
      <w:r w:rsidDel="00000000" w:rsidR="00000000" w:rsidRPr="00000000">
        <w:rPr>
          <w:sz w:val="24"/>
          <w:szCs w:val="24"/>
          <w:rtl w:val="0"/>
        </w:rPr>
        <w:t xml:space="preserve">Compared to the revenue recognition guidance applicable up to the end of 2017, under the new IFRS 15 guidance, the pattern according to which revenue is recognized will deviate even more from the cash collection pattern. Key changes relevant to Syensqo are indicated below:</w:t>
      </w:r>
    </w:p>
    <w:tbl>
      <w:tblPr>
        <w:tblStyle w:val="Table1"/>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2777"/>
        <w:gridCol w:w="4090"/>
        <w:gridCol w:w="1304"/>
        <w:gridCol w:w="1225"/>
        <w:tblGridChange w:id="0">
          <w:tblGrid>
            <w:gridCol w:w="2777"/>
            <w:gridCol w:w="4090"/>
            <w:gridCol w:w="1304"/>
            <w:gridCol w:w="1225"/>
          </w:tblGrid>
        </w:tblGridChange>
      </w:tblGrid>
      <w:tr>
        <w:trPr>
          <w:cantSplit w:val="0"/>
          <w:tblHeader w:val="0"/>
        </w:trPr>
        <w:tc>
          <w:tcPr/>
          <w:p w:rsidR="00000000" w:rsidDel="00000000" w:rsidP="00000000" w:rsidRDefault="00000000" w:rsidRPr="00000000" w14:paraId="0000003B">
            <w:pPr>
              <w:jc w:val="both"/>
              <w:rPr>
                <w:b w:val="1"/>
                <w:bCs w:val="1"/>
                <w:sz w:val="24"/>
                <w:szCs w:val="24"/>
              </w:rPr>
            </w:pPr>
            <w:r w:rsidDel="00000000" w:rsidR="00000000" w:rsidRPr="00000000">
              <w:rPr>
                <w:b w:val="1"/>
                <w:bCs w:val="1"/>
                <w:sz w:val="24"/>
                <w:szCs w:val="24"/>
                <w:rtl w:val="0"/>
              </w:rPr>
              <w:t xml:space="preserve">Examples</w:t>
            </w:r>
          </w:p>
        </w:tc>
        <w:tc>
          <w:tcPr/>
          <w:p w:rsidR="00000000" w:rsidDel="00000000" w:rsidP="00000000" w:rsidRDefault="00000000" w:rsidRPr="00000000" w14:paraId="0000003C">
            <w:pPr>
              <w:jc w:val="both"/>
              <w:rPr>
                <w:b w:val="1"/>
                <w:bCs w:val="1"/>
                <w:sz w:val="24"/>
                <w:szCs w:val="24"/>
              </w:rPr>
            </w:pPr>
            <w:r w:rsidDel="00000000" w:rsidR="00000000" w:rsidRPr="00000000">
              <w:rPr>
                <w:b w:val="1"/>
                <w:bCs w:val="1"/>
                <w:sz w:val="24"/>
                <w:szCs w:val="24"/>
                <w:rtl w:val="0"/>
              </w:rPr>
              <w:t xml:space="preserve">What changes? </w:t>
            </w:r>
          </w:p>
        </w:tc>
        <w:tc>
          <w:tcPr/>
          <w:p w:rsidR="00000000" w:rsidDel="00000000" w:rsidP="00000000" w:rsidRDefault="00000000" w:rsidRPr="00000000" w14:paraId="0000003D">
            <w:pPr>
              <w:jc w:val="both"/>
              <w:rPr>
                <w:b w:val="1"/>
                <w:bCs w:val="1"/>
                <w:sz w:val="24"/>
                <w:szCs w:val="24"/>
              </w:rPr>
            </w:pPr>
            <w:r w:rsidDel="00000000" w:rsidR="00000000" w:rsidRPr="00000000">
              <w:rPr>
                <w:b w:val="1"/>
                <w:bCs w:val="1"/>
                <w:sz w:val="24"/>
                <w:szCs w:val="24"/>
                <w:rtl w:val="0"/>
              </w:rPr>
              <w:t xml:space="preserve">Complex contract?</w:t>
            </w:r>
          </w:p>
        </w:tc>
        <w:tc>
          <w:tcPr/>
          <w:p w:rsidR="00000000" w:rsidDel="00000000" w:rsidP="00000000" w:rsidRDefault="00000000" w:rsidRPr="00000000" w14:paraId="0000003E">
            <w:pPr>
              <w:jc w:val="both"/>
              <w:rPr>
                <w:b w:val="1"/>
                <w:bCs w:val="1"/>
                <w:sz w:val="24"/>
                <w:szCs w:val="24"/>
              </w:rPr>
            </w:pPr>
            <w:r w:rsidDel="00000000" w:rsidR="00000000" w:rsidRPr="00000000">
              <w:rPr>
                <w:b w:val="1"/>
                <w:bCs w:val="1"/>
                <w:sz w:val="24"/>
                <w:szCs w:val="24"/>
                <w:rtl w:val="0"/>
              </w:rPr>
              <w:t xml:space="preserve">Reference</w:t>
            </w:r>
          </w:p>
        </w:tc>
      </w:tr>
      <w:tr>
        <w:trPr>
          <w:cantSplit w:val="0"/>
          <w:tblHeader w:val="0"/>
        </w:trPr>
        <w:tc>
          <w:tcPr/>
          <w:p w:rsidR="00000000" w:rsidDel="00000000" w:rsidP="00000000" w:rsidRDefault="00000000" w:rsidRPr="00000000" w14:paraId="0000003F">
            <w:pPr>
              <w:jc w:val="both"/>
              <w:rPr>
                <w:sz w:val="24"/>
                <w:szCs w:val="24"/>
              </w:rPr>
            </w:pPr>
            <w:r w:rsidDel="00000000" w:rsidR="00000000" w:rsidRPr="00000000">
              <w:rPr>
                <w:sz w:val="24"/>
                <w:szCs w:val="24"/>
                <w:rtl w:val="0"/>
              </w:rPr>
              <w:t xml:space="preserve">Upfront fees received as part of a supply agreement negotiated with a customer</w:t>
            </w:r>
          </w:p>
        </w:tc>
        <w:tc>
          <w:tcPr/>
          <w:p w:rsidR="00000000" w:rsidDel="00000000" w:rsidP="00000000" w:rsidRDefault="00000000" w:rsidRPr="00000000" w14:paraId="00000040">
            <w:pPr>
              <w:jc w:val="both"/>
              <w:rPr>
                <w:sz w:val="24"/>
                <w:szCs w:val="24"/>
              </w:rPr>
            </w:pPr>
            <w:r w:rsidDel="00000000" w:rsidR="00000000" w:rsidRPr="00000000">
              <w:rPr>
                <w:sz w:val="24"/>
                <w:szCs w:val="24"/>
                <w:rtl w:val="0"/>
              </w:rPr>
              <w:t xml:space="preserve">Upfront fees will no longer be eligible for upfront revenue recognition. Rather, revenue will be recognized over the term of the agreement.</w:t>
            </w:r>
          </w:p>
        </w:tc>
        <w:tc>
          <w:tcPr/>
          <w:p w:rsidR="00000000" w:rsidDel="00000000" w:rsidP="00000000" w:rsidRDefault="00000000" w:rsidRPr="00000000" w14:paraId="00000041">
            <w:pPr>
              <w:jc w:val="both"/>
              <w:rPr>
                <w:sz w:val="24"/>
                <w:szCs w:val="24"/>
              </w:rPr>
            </w:pPr>
            <w:r w:rsidDel="00000000" w:rsidR="00000000" w:rsidRPr="00000000">
              <w:rPr>
                <w:sz w:val="24"/>
                <w:szCs w:val="24"/>
                <w:rtl w:val="0"/>
              </w:rPr>
              <w:t xml:space="preserve">Yes</w:t>
            </w:r>
          </w:p>
        </w:tc>
        <w:tc>
          <w:tcPr/>
          <w:p w:rsidR="00000000" w:rsidDel="00000000" w:rsidP="00000000" w:rsidRDefault="00000000" w:rsidRPr="00000000" w14:paraId="00000042">
            <w:pPr>
              <w:jc w:val="both"/>
              <w:rPr>
                <w:sz w:val="24"/>
                <w:szCs w:val="24"/>
              </w:rPr>
            </w:pPr>
            <w:r w:rsidDel="00000000" w:rsidR="00000000" w:rsidRPr="00000000">
              <w:rPr>
                <w:sz w:val="24"/>
                <w:szCs w:val="24"/>
                <w:rtl w:val="0"/>
              </w:rPr>
              <w:t xml:space="preserve">4.c.1.vi</w:t>
            </w:r>
          </w:p>
        </w:tc>
      </w:tr>
      <w:tr>
        <w:trPr>
          <w:cantSplit w:val="0"/>
          <w:tblHeader w:val="0"/>
        </w:trPr>
        <w:tc>
          <w:tcPr/>
          <w:p w:rsidR="00000000" w:rsidDel="00000000" w:rsidP="00000000" w:rsidRDefault="00000000" w:rsidRPr="00000000" w14:paraId="00000043">
            <w:pPr>
              <w:jc w:val="both"/>
              <w:rPr>
                <w:sz w:val="24"/>
                <w:szCs w:val="24"/>
              </w:rPr>
            </w:pPr>
            <w:r w:rsidDel="00000000" w:rsidR="00000000" w:rsidRPr="00000000">
              <w:rPr>
                <w:sz w:val="24"/>
                <w:szCs w:val="24"/>
                <w:rtl w:val="0"/>
              </w:rPr>
              <w:t xml:space="preserve">Revenue from consignment inventory arrangements</w:t>
            </w:r>
          </w:p>
        </w:tc>
        <w:tc>
          <w:tcPr/>
          <w:p w:rsidR="00000000" w:rsidDel="00000000" w:rsidP="00000000" w:rsidRDefault="00000000" w:rsidRPr="00000000" w14:paraId="00000044">
            <w:pPr>
              <w:jc w:val="both"/>
              <w:rPr>
                <w:sz w:val="24"/>
                <w:szCs w:val="24"/>
              </w:rPr>
            </w:pPr>
            <w:r w:rsidDel="00000000" w:rsidR="00000000" w:rsidRPr="00000000">
              <w:rPr>
                <w:sz w:val="24"/>
                <w:szCs w:val="24"/>
                <w:rtl w:val="0"/>
              </w:rPr>
              <w:t xml:space="preserve">In some cases, revenue will be recognized when the goods are delivered on site and not at a later point in time, generally when the customer informs us that the goods have been used.</w:t>
            </w:r>
          </w:p>
        </w:tc>
        <w:tc>
          <w:tcPr/>
          <w:p w:rsidR="00000000" w:rsidDel="00000000" w:rsidP="00000000" w:rsidRDefault="00000000" w:rsidRPr="00000000" w14:paraId="00000045">
            <w:pPr>
              <w:jc w:val="both"/>
              <w:rPr>
                <w:sz w:val="24"/>
                <w:szCs w:val="24"/>
              </w:rPr>
            </w:pPr>
            <w:r w:rsidDel="00000000" w:rsidR="00000000" w:rsidRPr="00000000">
              <w:rPr>
                <w:sz w:val="24"/>
                <w:szCs w:val="24"/>
                <w:rtl w:val="0"/>
              </w:rPr>
              <w:t xml:space="preserve">Yes</w:t>
            </w:r>
          </w:p>
        </w:tc>
        <w:tc>
          <w:tcPr/>
          <w:p w:rsidR="00000000" w:rsidDel="00000000" w:rsidP="00000000" w:rsidRDefault="00000000" w:rsidRPr="00000000" w14:paraId="00000046">
            <w:pPr>
              <w:jc w:val="both"/>
              <w:rPr>
                <w:sz w:val="24"/>
                <w:szCs w:val="24"/>
              </w:rPr>
            </w:pPr>
            <w:r w:rsidDel="00000000" w:rsidR="00000000" w:rsidRPr="00000000">
              <w:rPr>
                <w:sz w:val="24"/>
                <w:szCs w:val="24"/>
                <w:rtl w:val="0"/>
              </w:rPr>
              <w:t xml:space="preserve">5.g</w:t>
            </w:r>
          </w:p>
        </w:tc>
      </w:tr>
      <w:tr>
        <w:trPr>
          <w:cantSplit w:val="0"/>
          <w:tblHeader w:val="0"/>
        </w:trPr>
        <w:tc>
          <w:tcPr/>
          <w:p w:rsidR="00000000" w:rsidDel="00000000" w:rsidP="00000000" w:rsidRDefault="00000000" w:rsidRPr="00000000" w14:paraId="00000047">
            <w:pPr>
              <w:jc w:val="both"/>
              <w:rPr>
                <w:sz w:val="24"/>
                <w:szCs w:val="24"/>
              </w:rPr>
            </w:pPr>
            <w:r w:rsidDel="00000000" w:rsidR="00000000" w:rsidRPr="00000000">
              <w:rPr>
                <w:sz w:val="24"/>
                <w:szCs w:val="24"/>
                <w:rtl w:val="0"/>
              </w:rPr>
              <w:t xml:space="preserve">Discounts promised for contract renewals</w:t>
            </w:r>
          </w:p>
        </w:tc>
        <w:tc>
          <w:tcPr/>
          <w:p w:rsidR="00000000" w:rsidDel="00000000" w:rsidP="00000000" w:rsidRDefault="00000000" w:rsidRPr="00000000" w14:paraId="00000048">
            <w:pPr>
              <w:jc w:val="both"/>
              <w:rPr>
                <w:sz w:val="24"/>
                <w:szCs w:val="24"/>
              </w:rPr>
            </w:pPr>
            <w:r w:rsidDel="00000000" w:rsidR="00000000" w:rsidRPr="00000000">
              <w:rPr>
                <w:sz w:val="24"/>
                <w:szCs w:val="24"/>
                <w:rtl w:val="0"/>
              </w:rPr>
              <w:t xml:space="preserve">Under IFRS 15, in many cases, those discounts expected to be granted will reduce the revenue recognized in the period prior to renewal, and amounts deferred will be recognized over the period of renewal.</w:t>
            </w:r>
          </w:p>
        </w:tc>
        <w:tc>
          <w:tcPr/>
          <w:p w:rsidR="00000000" w:rsidDel="00000000" w:rsidP="00000000" w:rsidRDefault="00000000" w:rsidRPr="00000000" w14:paraId="00000049">
            <w:pPr>
              <w:jc w:val="both"/>
              <w:rPr>
                <w:sz w:val="24"/>
                <w:szCs w:val="24"/>
              </w:rPr>
            </w:pPr>
            <w:r w:rsidDel="00000000" w:rsidR="00000000" w:rsidRPr="00000000">
              <w:rPr>
                <w:sz w:val="24"/>
                <w:szCs w:val="24"/>
                <w:rtl w:val="0"/>
              </w:rPr>
              <w:t xml:space="preserve">No</w:t>
            </w:r>
          </w:p>
        </w:tc>
        <w:tc>
          <w:tcPr/>
          <w:p w:rsidR="00000000" w:rsidDel="00000000" w:rsidP="00000000" w:rsidRDefault="00000000" w:rsidRPr="00000000" w14:paraId="0000004A">
            <w:pPr>
              <w:jc w:val="both"/>
              <w:rPr>
                <w:sz w:val="24"/>
                <w:szCs w:val="24"/>
              </w:rPr>
            </w:pPr>
            <w:r w:rsidDel="00000000" w:rsidR="00000000" w:rsidRPr="00000000">
              <w:rPr>
                <w:sz w:val="24"/>
                <w:szCs w:val="24"/>
                <w:rtl w:val="0"/>
              </w:rPr>
              <w:t xml:space="preserve">5.c</w:t>
            </w:r>
          </w:p>
        </w:tc>
      </w:tr>
      <w:tr>
        <w:trPr>
          <w:cantSplit w:val="0"/>
          <w:tblHeader w:val="0"/>
        </w:trPr>
        <w:tc>
          <w:tcPr/>
          <w:p w:rsidR="00000000" w:rsidDel="00000000" w:rsidP="00000000" w:rsidRDefault="00000000" w:rsidRPr="00000000" w14:paraId="0000004B">
            <w:pPr>
              <w:jc w:val="both"/>
              <w:rPr>
                <w:sz w:val="24"/>
                <w:szCs w:val="24"/>
              </w:rPr>
            </w:pPr>
            <w:r w:rsidDel="00000000" w:rsidR="00000000" w:rsidRPr="00000000">
              <w:rPr>
                <w:sz w:val="24"/>
                <w:szCs w:val="24"/>
                <w:rtl w:val="0"/>
              </w:rPr>
              <w:t xml:space="preserve">Amounts paid to the customer</w:t>
            </w:r>
          </w:p>
        </w:tc>
        <w:tc>
          <w:tcPr/>
          <w:p w:rsidR="00000000" w:rsidDel="00000000" w:rsidP="00000000" w:rsidRDefault="00000000" w:rsidRPr="00000000" w14:paraId="0000004C">
            <w:pPr>
              <w:jc w:val="both"/>
              <w:rPr>
                <w:sz w:val="24"/>
                <w:szCs w:val="24"/>
              </w:rPr>
            </w:pPr>
            <w:r w:rsidDel="00000000" w:rsidR="00000000" w:rsidRPr="00000000">
              <w:rPr>
                <w:sz w:val="24"/>
                <w:szCs w:val="24"/>
                <w:rtl w:val="0"/>
              </w:rPr>
              <w:t xml:space="preserve">Unless we buy an item that is distinct (e.g. services) from the customer, these amounts are presented as a deduction from revenue, not as an operating expense.</w:t>
            </w:r>
          </w:p>
        </w:tc>
        <w:tc>
          <w:tcPr/>
          <w:p w:rsidR="00000000" w:rsidDel="00000000" w:rsidP="00000000" w:rsidRDefault="00000000" w:rsidRPr="00000000" w14:paraId="0000004D">
            <w:pPr>
              <w:jc w:val="both"/>
              <w:rPr>
                <w:sz w:val="24"/>
                <w:szCs w:val="24"/>
              </w:rPr>
            </w:pPr>
            <w:r w:rsidDel="00000000" w:rsidR="00000000" w:rsidRPr="00000000">
              <w:rPr>
                <w:sz w:val="24"/>
                <w:szCs w:val="24"/>
                <w:rtl w:val="0"/>
              </w:rPr>
              <w:t xml:space="preserve">No</w:t>
            </w:r>
          </w:p>
        </w:tc>
        <w:tc>
          <w:tcPr/>
          <w:p w:rsidR="00000000" w:rsidDel="00000000" w:rsidP="00000000" w:rsidRDefault="00000000" w:rsidRPr="00000000" w14:paraId="0000004E">
            <w:pPr>
              <w:jc w:val="both"/>
              <w:rPr>
                <w:sz w:val="24"/>
                <w:szCs w:val="24"/>
              </w:rPr>
            </w:pPr>
            <w:r w:rsidDel="00000000" w:rsidR="00000000" w:rsidRPr="00000000">
              <w:rPr>
                <w:sz w:val="24"/>
                <w:szCs w:val="24"/>
                <w:rtl w:val="0"/>
              </w:rPr>
              <w:t xml:space="preserve">4.c.1.v</w:t>
            </w:r>
          </w:p>
        </w:tc>
      </w:tr>
    </w:tbl>
    <w:p w:rsidR="00000000" w:rsidDel="00000000" w:rsidP="00000000" w:rsidRDefault="00000000" w:rsidRPr="00000000" w14:paraId="0000004F">
      <w:pPr>
        <w:jc w:val="both"/>
        <w:rPr>
          <w:sz w:val="24"/>
          <w:szCs w:val="24"/>
        </w:rPr>
      </w:pPr>
      <w:r w:rsidDel="00000000" w:rsidR="00000000" w:rsidRPr="00000000">
        <w:rPr>
          <w:rtl w:val="0"/>
        </w:rPr>
      </w:r>
    </w:p>
    <w:p w:rsidR="00000000" w:rsidDel="00000000" w:rsidP="00000000" w:rsidRDefault="00000000" w:rsidRPr="00000000" w14:paraId="00000050">
      <w:pPr>
        <w:jc w:val="both"/>
        <w:rPr>
          <w:sz w:val="24"/>
          <w:szCs w:val="24"/>
        </w:rPr>
      </w:pPr>
      <w:r w:rsidDel="00000000" w:rsidR="00000000" w:rsidRPr="00000000">
        <w:rPr>
          <w:sz w:val="24"/>
          <w:szCs w:val="24"/>
          <w:rtl w:val="0"/>
        </w:rPr>
        <w:t xml:space="preserve">Revenue recognition is based on a five-step model, answering the following questions: do we have a contract, what did we promise to our customer (goods, customer assistance services, trainings, warranty, etc), to what amounts do we expect to be entitled (amounts billed, rebates to be granted, etc), how to allocate those amounts to the different items we promised, and when to recognize revenue for the respective promises. Those steps are described in detail in section 4. Section 5 zooms in on how to recognize revenue in a number of specific cases.</w:t>
      </w:r>
    </w:p>
    <w:p w:rsidR="00000000" w:rsidDel="00000000" w:rsidP="00000000" w:rsidRDefault="00000000" w:rsidRPr="00000000" w14:paraId="00000051">
      <w:pPr>
        <w:jc w:val="both"/>
        <w:rPr>
          <w:sz w:val="24"/>
          <w:szCs w:val="24"/>
        </w:rPr>
      </w:pPr>
      <w:r w:rsidDel="00000000" w:rsidR="00000000" w:rsidRPr="00000000">
        <w:rPr>
          <w:sz w:val="24"/>
          <w:szCs w:val="24"/>
          <w:rtl w:val="0"/>
        </w:rPr>
        <w:t xml:space="preserve">According to the complex contract procedure, GAR should be alerted in certain cases:</w:t>
      </w:r>
    </w:p>
    <w:p w:rsidR="00000000" w:rsidDel="00000000" w:rsidP="00000000" w:rsidRDefault="00000000" w:rsidRPr="00000000" w14:paraId="00000052">
      <w:pPr>
        <w:numPr>
          <w:ilvl w:val="0"/>
          <w:numId w:val="25"/>
        </w:numPr>
        <w:pBdr>
          <w:top w:space="0" w:sz="0" w:val="nil"/>
          <w:left w:space="0" w:sz="0" w:val="nil"/>
          <w:bottom w:space="0" w:sz="0" w:val="nil"/>
          <w:right w:space="0" w:sz="0" w:val="nil"/>
          <w:between w:space="0" w:sz="0" w:val="nil"/>
        </w:pBdr>
        <w:spacing w:after="0" w:lineRule="auto"/>
        <w:ind w:left="774" w:hanging="360"/>
        <w:jc w:val="both"/>
        <w:rPr>
          <w:color w:val="000000"/>
          <w:sz w:val="24"/>
          <w:szCs w:val="24"/>
        </w:rPr>
      </w:pPr>
      <w:r w:rsidDel="00000000" w:rsidR="00000000" w:rsidRPr="00000000">
        <w:rPr>
          <w:color w:val="000000"/>
          <w:sz w:val="24"/>
          <w:szCs w:val="24"/>
          <w:rtl w:val="0"/>
        </w:rPr>
        <w:t xml:space="preserve">Consignment inventory held by the customer (4.c.vi);</w:t>
      </w:r>
    </w:p>
    <w:p w:rsidR="00000000" w:rsidDel="00000000" w:rsidP="00000000" w:rsidRDefault="00000000" w:rsidRPr="00000000" w14:paraId="00000053">
      <w:pPr>
        <w:numPr>
          <w:ilvl w:val="0"/>
          <w:numId w:val="25"/>
        </w:numPr>
        <w:pBdr>
          <w:top w:space="0" w:sz="0" w:val="nil"/>
          <w:left w:space="0" w:sz="0" w:val="nil"/>
          <w:bottom w:space="0" w:sz="0" w:val="nil"/>
          <w:right w:space="0" w:sz="0" w:val="nil"/>
          <w:between w:space="0" w:sz="0" w:val="nil"/>
        </w:pBdr>
        <w:spacing w:after="0" w:lineRule="auto"/>
        <w:ind w:left="774" w:hanging="360"/>
        <w:jc w:val="both"/>
        <w:rPr>
          <w:color w:val="000000"/>
          <w:sz w:val="24"/>
          <w:szCs w:val="24"/>
        </w:rPr>
      </w:pPr>
      <w:r w:rsidDel="00000000" w:rsidR="00000000" w:rsidRPr="00000000">
        <w:rPr>
          <w:color w:val="000000"/>
          <w:sz w:val="24"/>
          <w:szCs w:val="24"/>
          <w:rtl w:val="0"/>
        </w:rPr>
        <w:t xml:space="preserve">Fees disconnected from the flows of goods (upfront fees, unavoidable end-of-contract fees (5.g));</w:t>
      </w:r>
    </w:p>
    <w:p w:rsidR="00000000" w:rsidDel="00000000" w:rsidP="00000000" w:rsidRDefault="00000000" w:rsidRPr="00000000" w14:paraId="00000054">
      <w:pPr>
        <w:numPr>
          <w:ilvl w:val="0"/>
          <w:numId w:val="25"/>
        </w:numPr>
        <w:pBdr>
          <w:top w:space="0" w:sz="0" w:val="nil"/>
          <w:left w:space="0" w:sz="0" w:val="nil"/>
          <w:bottom w:space="0" w:sz="0" w:val="nil"/>
          <w:right w:space="0" w:sz="0" w:val="nil"/>
          <w:between w:space="0" w:sz="0" w:val="nil"/>
        </w:pBdr>
        <w:spacing w:after="0" w:lineRule="auto"/>
        <w:ind w:left="774" w:hanging="360"/>
        <w:jc w:val="both"/>
        <w:rPr>
          <w:color w:val="000000"/>
          <w:sz w:val="24"/>
          <w:szCs w:val="24"/>
        </w:rPr>
      </w:pPr>
      <w:r w:rsidDel="00000000" w:rsidR="00000000" w:rsidRPr="00000000">
        <w:rPr>
          <w:color w:val="000000"/>
          <w:sz w:val="24"/>
          <w:szCs w:val="24"/>
          <w:rtl w:val="0"/>
        </w:rPr>
        <w:t xml:space="preserve">Non-monetary exchange contracts (“swaps”);</w:t>
      </w:r>
    </w:p>
    <w:p w:rsidR="00000000" w:rsidDel="00000000" w:rsidP="00000000" w:rsidRDefault="00000000" w:rsidRPr="00000000" w14:paraId="00000055">
      <w:pPr>
        <w:numPr>
          <w:ilvl w:val="0"/>
          <w:numId w:val="25"/>
        </w:numPr>
        <w:pBdr>
          <w:top w:space="0" w:sz="0" w:val="nil"/>
          <w:left w:space="0" w:sz="0" w:val="nil"/>
          <w:bottom w:space="0" w:sz="0" w:val="nil"/>
          <w:right w:space="0" w:sz="0" w:val="nil"/>
          <w:between w:space="0" w:sz="0" w:val="nil"/>
        </w:pBdr>
        <w:spacing w:after="0" w:lineRule="auto"/>
        <w:ind w:left="774" w:hanging="360"/>
        <w:jc w:val="both"/>
        <w:rPr>
          <w:color w:val="000000"/>
          <w:sz w:val="24"/>
          <w:szCs w:val="24"/>
        </w:rPr>
      </w:pPr>
      <w:r w:rsidDel="00000000" w:rsidR="00000000" w:rsidRPr="00000000">
        <w:rPr>
          <w:color w:val="000000"/>
          <w:sz w:val="24"/>
          <w:szCs w:val="24"/>
          <w:rtl w:val="0"/>
        </w:rPr>
        <w:t xml:space="preserve">Contracts granting the right to use an asset (leases) (see FRG IFRS 16 – </w:t>
      </w:r>
      <w:r w:rsidDel="00000000" w:rsidR="00000000" w:rsidRPr="00000000">
        <w:rPr>
          <w:i w:val="1"/>
          <w:iCs w:val="1"/>
          <w:color w:val="000000"/>
          <w:sz w:val="24"/>
          <w:szCs w:val="24"/>
          <w:rtl w:val="0"/>
        </w:rPr>
        <w:t xml:space="preserve">Leases</w:t>
      </w:r>
      <w:r w:rsidDel="00000000" w:rsidR="00000000" w:rsidRPr="00000000">
        <w:rPr>
          <w:color w:val="000000"/>
          <w:sz w:val="24"/>
          <w:szCs w:val="24"/>
          <w:rtl w:val="0"/>
        </w:rPr>
        <w:t xml:space="preserve">);</w:t>
      </w:r>
    </w:p>
    <w:p w:rsidR="00000000" w:rsidDel="00000000" w:rsidP="00000000" w:rsidRDefault="00000000" w:rsidRPr="00000000" w14:paraId="00000056">
      <w:pPr>
        <w:numPr>
          <w:ilvl w:val="0"/>
          <w:numId w:val="25"/>
        </w:numPr>
        <w:pBdr>
          <w:top w:space="0" w:sz="0" w:val="nil"/>
          <w:left w:space="0" w:sz="0" w:val="nil"/>
          <w:bottom w:space="0" w:sz="0" w:val="nil"/>
          <w:right w:space="0" w:sz="0" w:val="nil"/>
          <w:between w:space="0" w:sz="0" w:val="nil"/>
        </w:pBdr>
        <w:ind w:left="774" w:hanging="360"/>
        <w:jc w:val="both"/>
        <w:rPr>
          <w:color w:val="000000"/>
          <w:sz w:val="24"/>
          <w:szCs w:val="24"/>
        </w:rPr>
      </w:pPr>
      <w:r w:rsidDel="00000000" w:rsidR="00000000" w:rsidRPr="00000000">
        <w:rPr>
          <w:color w:val="000000"/>
          <w:sz w:val="24"/>
          <w:szCs w:val="24"/>
          <w:rtl w:val="0"/>
        </w:rPr>
        <w:t xml:space="preserve">Onerous contracts.</w:t>
      </w:r>
    </w:p>
    <w:p w:rsidR="00000000" w:rsidDel="00000000" w:rsidP="00000000" w:rsidRDefault="00000000" w:rsidRPr="00000000" w14:paraId="00000057">
      <w:pPr>
        <w:jc w:val="both"/>
        <w:rPr>
          <w:color w:val="0000ff"/>
          <w:sz w:val="24"/>
          <w:szCs w:val="24"/>
          <w:u w:val="single"/>
        </w:rPr>
      </w:pPr>
      <w:r w:rsidDel="00000000" w:rsidR="00000000" w:rsidRPr="00000000">
        <w:rPr>
          <w:sz w:val="24"/>
          <w:szCs w:val="24"/>
          <w:rtl w:val="0"/>
        </w:rPr>
        <w:t xml:space="preserve">Please refer to the complex contract procedure for more information, including thresholds.</w:t>
      </w:r>
      <w:r w:rsidDel="00000000" w:rsidR="00000000" w:rsidRPr="00000000">
        <w:rPr>
          <w:rtl w:val="0"/>
        </w:rPr>
      </w:r>
    </w:p>
    <w:p w:rsidR="00000000" w:rsidDel="00000000" w:rsidP="00000000" w:rsidRDefault="00000000" w:rsidRPr="00000000" w14:paraId="00000058">
      <w:pPr>
        <w:pStyle w:val="Heading1"/>
        <w:numPr>
          <w:ilvl w:val="0"/>
          <w:numId w:val="1"/>
        </w:numPr>
        <w:ind w:left="720" w:hanging="360"/>
        <w:rPr/>
      </w:pPr>
      <w:bookmarkStart w:colFirst="0" w:colLast="0" w:name="_heading=h.qbzfm3bid2h" w:id="3"/>
      <w:bookmarkEnd w:id="3"/>
      <w:r w:rsidDel="00000000" w:rsidR="00000000" w:rsidRPr="00000000">
        <w:rPr>
          <w:rtl w:val="0"/>
        </w:rPr>
        <w:t xml:space="preserve">Scope</w:t>
      </w:r>
    </w:p>
    <w:p w:rsidR="00000000" w:rsidDel="00000000" w:rsidP="00000000" w:rsidRDefault="00000000" w:rsidRPr="00000000" w14:paraId="00000059">
      <w:pPr>
        <w:jc w:val="both"/>
        <w:rPr>
          <w:sz w:val="24"/>
          <w:szCs w:val="24"/>
        </w:rPr>
      </w:pPr>
      <w:r w:rsidDel="00000000" w:rsidR="00000000" w:rsidRPr="00000000">
        <w:rPr>
          <w:sz w:val="24"/>
          <w:szCs w:val="24"/>
          <w:rtl w:val="0"/>
        </w:rPr>
        <w:t xml:space="preserve">Revenue is derived from contracts entered into by a vendor (a seller, i.c. Syensqo) for the sale of goods or services, </w:t>
      </w:r>
      <w:r w:rsidDel="00000000" w:rsidR="00000000" w:rsidRPr="00000000">
        <w:rPr>
          <w:sz w:val="24"/>
          <w:szCs w:val="24"/>
          <w:u w:val="single"/>
          <w:rtl w:val="0"/>
        </w:rPr>
        <w:t xml:space="preserve">arising from its ordinary activities</w:t>
      </w:r>
      <w:r w:rsidDel="00000000" w:rsidR="00000000" w:rsidRPr="00000000">
        <w:rPr>
          <w:sz w:val="24"/>
          <w:szCs w:val="24"/>
          <w:rtl w:val="0"/>
        </w:rPr>
        <w:t xml:space="preserve">, to a customer. IFRS 15 generally applies to all sales contracts with customers, except for:</w:t>
      </w:r>
    </w:p>
    <w:p w:rsidR="00000000" w:rsidDel="00000000" w:rsidP="00000000" w:rsidRDefault="00000000" w:rsidRPr="00000000" w14:paraId="0000005A">
      <w:pPr>
        <w:numPr>
          <w:ilvl w:val="0"/>
          <w:numId w:val="36"/>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Leases, including leases embedded within a ‘normal’ sales agreement. In this case, IFRS 15 applies to the non-lease components within the sales agreement; and </w:t>
      </w:r>
    </w:p>
    <w:p w:rsidR="00000000" w:rsidDel="00000000" w:rsidP="00000000" w:rsidRDefault="00000000" w:rsidRPr="00000000" w14:paraId="0000005B">
      <w:pPr>
        <w:numPr>
          <w:ilvl w:val="0"/>
          <w:numId w:val="36"/>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Non-monetary exchanges between competitors to facilitate sales to customers or potential customers. Those have been discussed in section 5.b. </w:t>
      </w:r>
    </w:p>
    <w:p w:rsidR="00000000" w:rsidDel="00000000" w:rsidP="00000000" w:rsidRDefault="00000000" w:rsidRPr="00000000" w14:paraId="0000005C">
      <w:pPr>
        <w:jc w:val="both"/>
        <w:rPr>
          <w:sz w:val="24"/>
          <w:szCs w:val="24"/>
        </w:rPr>
      </w:pPr>
      <w:r w:rsidDel="00000000" w:rsidR="00000000" w:rsidRPr="00000000">
        <w:rPr>
          <w:sz w:val="24"/>
          <w:szCs w:val="24"/>
          <w:rtl w:val="0"/>
        </w:rPr>
        <w:t xml:space="preserve">Revenue arising from ordinary activities is included in the following captions of the consolidated income statement:</w:t>
      </w:r>
    </w:p>
    <w:p w:rsidR="00000000" w:rsidDel="00000000" w:rsidP="00000000" w:rsidRDefault="00000000" w:rsidRPr="00000000" w14:paraId="0000005D">
      <w:pPr>
        <w:numPr>
          <w:ilvl w:val="0"/>
          <w:numId w:val="2"/>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R10000 – Net sales  </w:t>
      </w:r>
    </w:p>
    <w:p w:rsidR="00000000" w:rsidDel="00000000" w:rsidP="00000000" w:rsidRDefault="00000000" w:rsidRPr="00000000" w14:paraId="0000005E">
      <w:pPr>
        <w:numPr>
          <w:ilvl w:val="0"/>
          <w:numId w:val="2"/>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R10600 – Royalties received according to sales</w:t>
      </w:r>
    </w:p>
    <w:p w:rsidR="00000000" w:rsidDel="00000000" w:rsidP="00000000" w:rsidRDefault="00000000" w:rsidRPr="00000000" w14:paraId="0000005F">
      <w:pPr>
        <w:numPr>
          <w:ilvl w:val="0"/>
          <w:numId w:val="2"/>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R11200 – Other revenue on activities – Industrial and Administrative &amp; Commercial</w:t>
      </w:r>
    </w:p>
    <w:p w:rsidR="00000000" w:rsidDel="00000000" w:rsidP="00000000" w:rsidRDefault="00000000" w:rsidRPr="00000000" w14:paraId="00000060">
      <w:pPr>
        <w:numPr>
          <w:ilvl w:val="0"/>
          <w:numId w:val="2"/>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R11400 – Other revenue on activities – Research</w:t>
      </w:r>
    </w:p>
    <w:p w:rsidR="00000000" w:rsidDel="00000000" w:rsidP="00000000" w:rsidRDefault="00000000" w:rsidRPr="00000000" w14:paraId="00000061">
      <w:pPr>
        <w:numPr>
          <w:ilvl w:val="0"/>
          <w:numId w:val="2"/>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color w:val="000000"/>
          <w:sz w:val="24"/>
          <w:szCs w:val="24"/>
          <w:rtl w:val="0"/>
        </w:rPr>
        <w:t xml:space="preserve">R11500 – Other revenue on activities – Management fees</w:t>
      </w:r>
      <w:r w:rsidDel="00000000" w:rsidR="00000000" w:rsidRPr="00000000">
        <w:rPr>
          <w:color w:val="000000"/>
          <w:sz w:val="24"/>
          <w:szCs w:val="24"/>
          <w:vertAlign w:val="superscript"/>
        </w:rPr>
        <w:footnoteReference w:customMarkFollows="0" w:id="0"/>
      </w:r>
      <w:r w:rsidDel="00000000" w:rsidR="00000000" w:rsidRPr="00000000">
        <w:rPr>
          <w:rtl w:val="0"/>
        </w:rPr>
      </w:r>
    </w:p>
    <w:p w:rsidR="00000000" w:rsidDel="00000000" w:rsidP="00000000" w:rsidRDefault="00000000" w:rsidRPr="00000000" w14:paraId="00000062">
      <w:pPr>
        <w:jc w:val="both"/>
        <w:rPr>
          <w:sz w:val="24"/>
          <w:szCs w:val="24"/>
        </w:rPr>
      </w:pPr>
      <w:r w:rsidDel="00000000" w:rsidR="00000000" w:rsidRPr="00000000">
        <w:rPr>
          <w:sz w:val="24"/>
          <w:szCs w:val="24"/>
          <w:rtl w:val="0"/>
        </w:rPr>
        <w:t xml:space="preserve">In the income statement, we distinguish between net sales (that includes both R10000 and R10600) and revenue from non-core activities (R11x00). These are defined as follows:</w:t>
      </w:r>
    </w:p>
    <w:p w:rsidR="00000000" w:rsidDel="00000000" w:rsidP="00000000" w:rsidRDefault="00000000" w:rsidRPr="00000000" w14:paraId="00000063">
      <w:pPr>
        <w:numPr>
          <w:ilvl w:val="0"/>
          <w:numId w:val="11"/>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Net sales are sales of goods and value added services corresponding to </w:t>
      </w:r>
      <w:r w:rsidDel="00000000" w:rsidR="00000000" w:rsidRPr="00000000">
        <w:rPr>
          <w:sz w:val="24"/>
          <w:szCs w:val="24"/>
          <w:rtl w:val="0"/>
        </w:rPr>
        <w:t xml:space="preserve">Syensqo</w:t>
      </w:r>
      <w:r w:rsidDel="00000000" w:rsidR="00000000" w:rsidRPr="00000000">
        <w:rPr>
          <w:color w:val="000000"/>
          <w:sz w:val="24"/>
          <w:szCs w:val="24"/>
          <w:rtl w:val="0"/>
        </w:rPr>
        <w:t xml:space="preserve">’s know-how and core business; and</w:t>
      </w:r>
    </w:p>
    <w:p w:rsidR="00000000" w:rsidDel="00000000" w:rsidP="00000000" w:rsidRDefault="00000000" w:rsidRPr="00000000" w14:paraId="00000064">
      <w:pPr>
        <w:numPr>
          <w:ilvl w:val="0"/>
          <w:numId w:val="11"/>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Revenue from non-core activities is defined as revenue primarily comprising commodity and utility transactions and other revenue, considered not to correspond to </w:t>
      </w:r>
      <w:r w:rsidDel="00000000" w:rsidR="00000000" w:rsidRPr="00000000">
        <w:rPr>
          <w:sz w:val="24"/>
          <w:szCs w:val="24"/>
          <w:rtl w:val="0"/>
        </w:rPr>
        <w:t xml:space="preserve">Syensqo</w:t>
      </w:r>
      <w:r w:rsidDel="00000000" w:rsidR="00000000" w:rsidRPr="00000000">
        <w:rPr>
          <w:color w:val="000000"/>
          <w:sz w:val="24"/>
          <w:szCs w:val="24"/>
          <w:rtl w:val="0"/>
        </w:rPr>
        <w:t xml:space="preserve">’s know-how and core business. </w:t>
      </w:r>
    </w:p>
    <w:p w:rsidR="00000000" w:rsidDel="00000000" w:rsidP="00000000" w:rsidRDefault="00000000" w:rsidRPr="00000000" w14:paraId="00000065">
      <w:pPr>
        <w:pBdr>
          <w:top w:space="0" w:sz="0" w:val="nil"/>
          <w:left w:space="0" w:sz="0" w:val="nil"/>
          <w:bottom w:space="0" w:sz="0" w:val="nil"/>
          <w:right w:space="0" w:sz="0" w:val="nil"/>
          <w:between w:space="0" w:sz="0" w:val="nil"/>
        </w:pBdr>
        <w:ind w:left="1440" w:firstLine="0"/>
        <w:jc w:val="both"/>
        <w:rPr>
          <w:color w:val="000000"/>
          <w:sz w:val="24"/>
          <w:szCs w:val="24"/>
        </w:rPr>
      </w:pPr>
      <w:r w:rsidDel="00000000" w:rsidR="00000000" w:rsidRPr="00000000">
        <w:rPr>
          <w:rtl w:val="0"/>
        </w:rPr>
      </w:r>
    </w:p>
    <w:p w:rsidR="00000000" w:rsidDel="00000000" w:rsidP="00000000" w:rsidRDefault="00000000" w:rsidRPr="00000000" w14:paraId="00000066">
      <w:pPr>
        <w:pStyle w:val="Heading2"/>
        <w:numPr>
          <w:ilvl w:val="1"/>
          <w:numId w:val="1"/>
        </w:numPr>
        <w:rPr>
          <w:color w:val="ff6540"/>
        </w:rPr>
      </w:pPr>
      <w:bookmarkStart w:colFirst="0" w:colLast="0" w:name="_heading=h.xifeob3tnyxn" w:id="4"/>
      <w:bookmarkEnd w:id="4"/>
      <w:r w:rsidDel="00000000" w:rsidR="00000000" w:rsidRPr="00000000">
        <w:rPr>
          <w:rtl w:val="0"/>
        </w:rPr>
        <w:t xml:space="preserve">R10000 – Net sales</w:t>
      </w:r>
      <w:r w:rsidDel="00000000" w:rsidR="00000000" w:rsidRPr="00000000">
        <w:rPr>
          <w:rtl w:val="0"/>
        </w:rPr>
      </w:r>
    </w:p>
    <w:p w:rsidR="00000000" w:rsidDel="00000000" w:rsidP="00000000" w:rsidRDefault="00000000" w:rsidRPr="00000000" w14:paraId="00000067">
      <w:pPr>
        <w:jc w:val="both"/>
        <w:rPr>
          <w:sz w:val="24"/>
          <w:szCs w:val="24"/>
        </w:rPr>
      </w:pPr>
      <w:r w:rsidDel="00000000" w:rsidR="00000000" w:rsidRPr="00000000">
        <w:rPr>
          <w:sz w:val="24"/>
          <w:szCs w:val="24"/>
          <w:rtl w:val="0"/>
        </w:rPr>
        <w:t xml:space="preserve">This account primarily includes the sales from ordinary course of business related to (semi-) finished goods, raw materials, co-products, sub-products, value-added services, waste and residue (excluding VAT).</w:t>
      </w:r>
    </w:p>
    <w:p w:rsidR="00000000" w:rsidDel="00000000" w:rsidP="00000000" w:rsidRDefault="00000000" w:rsidRPr="00000000" w14:paraId="00000068">
      <w:pPr>
        <w:jc w:val="both"/>
        <w:rPr>
          <w:strike w:val="1"/>
          <w:sz w:val="24"/>
          <w:szCs w:val="24"/>
        </w:rPr>
      </w:pPr>
      <w:r w:rsidDel="00000000" w:rsidR="00000000" w:rsidRPr="00000000">
        <w:rPr>
          <w:sz w:val="24"/>
          <w:szCs w:val="24"/>
          <w:rtl w:val="0"/>
        </w:rPr>
        <w:t xml:space="preserve">It also includes, regardless as to whether billed separately or together with the sales of goods:</w:t>
      </w:r>
      <w:r w:rsidDel="00000000" w:rsidR="00000000" w:rsidRPr="00000000">
        <w:rPr>
          <w:rtl w:val="0"/>
        </w:rPr>
      </w:r>
    </w:p>
    <w:p w:rsidR="00000000" w:rsidDel="00000000" w:rsidP="00000000" w:rsidRDefault="00000000" w:rsidRPr="00000000" w14:paraId="00000069">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Revenue related to tolling agreements, when tolling is the core business activity of the entity. Tolling is defined as labor performed by a </w:t>
      </w:r>
      <w:r w:rsidDel="00000000" w:rsidR="00000000" w:rsidRPr="00000000">
        <w:rPr>
          <w:sz w:val="24"/>
          <w:szCs w:val="24"/>
          <w:rtl w:val="0"/>
        </w:rPr>
        <w:t xml:space="preserve">Syensqo</w:t>
      </w:r>
      <w:r w:rsidDel="00000000" w:rsidR="00000000" w:rsidRPr="00000000">
        <w:rPr>
          <w:color w:val="000000"/>
          <w:sz w:val="24"/>
          <w:szCs w:val="24"/>
          <w:rtl w:val="0"/>
        </w:rPr>
        <w:t xml:space="preserve"> entity (toller) to process the raw material supplied by the customer for a specified fee, with the raw material and the product remaining the property of the customer;  </w:t>
      </w:r>
    </w:p>
    <w:p w:rsidR="00000000" w:rsidDel="00000000" w:rsidP="00000000" w:rsidRDefault="00000000" w:rsidRPr="00000000" w14:paraId="0000006A">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Revenue from subcontracting (performance of work by a </w:t>
      </w:r>
      <w:r w:rsidDel="00000000" w:rsidR="00000000" w:rsidRPr="00000000">
        <w:rPr>
          <w:sz w:val="24"/>
          <w:szCs w:val="24"/>
          <w:rtl w:val="0"/>
        </w:rPr>
        <w:t xml:space="preserve">Syensqo</w:t>
      </w:r>
      <w:r w:rsidDel="00000000" w:rsidR="00000000" w:rsidRPr="00000000">
        <w:rPr>
          <w:color w:val="000000"/>
          <w:sz w:val="24"/>
          <w:szCs w:val="24"/>
          <w:rtl w:val="0"/>
        </w:rPr>
        <w:t xml:space="preserve"> entity (the subcontractor) on behalf of another company (the contractor));</w:t>
      </w:r>
    </w:p>
    <w:p w:rsidR="00000000" w:rsidDel="00000000" w:rsidP="00000000" w:rsidRDefault="00000000" w:rsidRPr="00000000" w14:paraId="0000006B">
      <w:pPr>
        <w:numPr>
          <w:ilvl w:val="0"/>
          <w:numId w:val="5"/>
        </w:numPr>
        <w:pBdr>
          <w:top w:space="0" w:sz="0" w:val="nil"/>
          <w:left w:space="0" w:sz="0" w:val="nil"/>
          <w:bottom w:space="0" w:sz="0" w:val="nil"/>
          <w:right w:space="0" w:sz="0" w:val="nil"/>
          <w:between w:space="0" w:sz="0" w:val="nil"/>
        </w:pBdr>
        <w:spacing w:after="0" w:lineRule="auto"/>
        <w:ind w:left="720" w:hanging="360"/>
        <w:rPr>
          <w:color w:val="000000"/>
          <w:sz w:val="24"/>
          <w:szCs w:val="24"/>
        </w:rPr>
      </w:pPr>
      <w:r w:rsidDel="00000000" w:rsidR="00000000" w:rsidRPr="00000000">
        <w:rPr>
          <w:color w:val="000000"/>
          <w:sz w:val="24"/>
          <w:szCs w:val="24"/>
          <w:rtl w:val="0"/>
        </w:rPr>
        <w:t xml:space="preserve">Price reductions:</w:t>
      </w:r>
    </w:p>
    <w:p w:rsidR="00000000" w:rsidDel="00000000" w:rsidP="00000000" w:rsidRDefault="00000000" w:rsidRPr="00000000" w14:paraId="0000006C">
      <w:pPr>
        <w:numPr>
          <w:ilvl w:val="0"/>
          <w:numId w:val="5"/>
        </w:numPr>
        <w:pBdr>
          <w:top w:space="0" w:sz="0" w:val="nil"/>
          <w:left w:space="0" w:sz="0" w:val="nil"/>
          <w:bottom w:space="0" w:sz="0" w:val="nil"/>
          <w:right w:space="0" w:sz="0" w:val="nil"/>
          <w:between w:space="0" w:sz="0" w:val="nil"/>
        </w:pBdr>
        <w:spacing w:after="0" w:lineRule="auto"/>
        <w:ind w:left="1080" w:hanging="360"/>
        <w:jc w:val="both"/>
        <w:rPr>
          <w:color w:val="000000"/>
          <w:sz w:val="24"/>
          <w:szCs w:val="24"/>
        </w:rPr>
      </w:pPr>
      <w:r w:rsidDel="00000000" w:rsidR="00000000" w:rsidRPr="00000000">
        <w:rPr>
          <w:color w:val="000000"/>
          <w:sz w:val="24"/>
          <w:szCs w:val="24"/>
          <w:rtl w:val="0"/>
        </w:rPr>
        <w:t xml:space="preserve">Rebate (in French = rabais): price reduction granted by a </w:t>
      </w:r>
      <w:r w:rsidDel="00000000" w:rsidR="00000000" w:rsidRPr="00000000">
        <w:rPr>
          <w:sz w:val="24"/>
          <w:szCs w:val="24"/>
          <w:rtl w:val="0"/>
        </w:rPr>
        <w:t xml:space="preserve">Syensqo</w:t>
      </w:r>
      <w:r w:rsidDel="00000000" w:rsidR="00000000" w:rsidRPr="00000000">
        <w:rPr>
          <w:color w:val="000000"/>
          <w:sz w:val="24"/>
          <w:szCs w:val="24"/>
          <w:rtl w:val="0"/>
        </w:rPr>
        <w:t xml:space="preserve"> entity to a customer to compensate for a defect in, or the downgrading of, the product sold. </w:t>
      </w:r>
    </w:p>
    <w:p w:rsidR="00000000" w:rsidDel="00000000" w:rsidP="00000000" w:rsidRDefault="00000000" w:rsidRPr="00000000" w14:paraId="0000006D">
      <w:pPr>
        <w:numPr>
          <w:ilvl w:val="0"/>
          <w:numId w:val="5"/>
        </w:numPr>
        <w:pBdr>
          <w:top w:space="0" w:sz="0" w:val="nil"/>
          <w:left w:space="0" w:sz="0" w:val="nil"/>
          <w:bottom w:space="0" w:sz="0" w:val="nil"/>
          <w:right w:space="0" w:sz="0" w:val="nil"/>
          <w:between w:space="0" w:sz="0" w:val="nil"/>
        </w:pBdr>
        <w:spacing w:after="0" w:lineRule="auto"/>
        <w:ind w:left="1080" w:hanging="360"/>
        <w:jc w:val="both"/>
        <w:rPr>
          <w:color w:val="000000"/>
          <w:sz w:val="24"/>
          <w:szCs w:val="24"/>
        </w:rPr>
      </w:pPr>
      <w:r w:rsidDel="00000000" w:rsidR="00000000" w:rsidRPr="00000000">
        <w:rPr>
          <w:color w:val="000000"/>
          <w:sz w:val="24"/>
          <w:szCs w:val="24"/>
          <w:rtl w:val="0"/>
        </w:rPr>
        <w:t xml:space="preserve">Volume discount (in French = ristourne): price adjustment granted retrospectively by a </w:t>
      </w:r>
      <w:r w:rsidDel="00000000" w:rsidR="00000000" w:rsidRPr="00000000">
        <w:rPr>
          <w:sz w:val="24"/>
          <w:szCs w:val="24"/>
          <w:rtl w:val="0"/>
        </w:rPr>
        <w:t xml:space="preserve">Syensqo</w:t>
      </w:r>
      <w:r w:rsidDel="00000000" w:rsidR="00000000" w:rsidRPr="00000000">
        <w:rPr>
          <w:color w:val="000000"/>
          <w:sz w:val="24"/>
          <w:szCs w:val="24"/>
          <w:rtl w:val="0"/>
        </w:rPr>
        <w:t xml:space="preserve"> entity to a customer on its purchases over a given period and generally linked to their volume.</w:t>
      </w:r>
    </w:p>
    <w:p w:rsidR="00000000" w:rsidDel="00000000" w:rsidP="00000000" w:rsidRDefault="00000000" w:rsidRPr="00000000" w14:paraId="0000006E">
      <w:pPr>
        <w:numPr>
          <w:ilvl w:val="0"/>
          <w:numId w:val="5"/>
        </w:numPr>
        <w:pBdr>
          <w:top w:space="0" w:sz="0" w:val="nil"/>
          <w:left w:space="0" w:sz="0" w:val="nil"/>
          <w:bottom w:space="0" w:sz="0" w:val="nil"/>
          <w:right w:space="0" w:sz="0" w:val="nil"/>
          <w:between w:space="0" w:sz="0" w:val="nil"/>
        </w:pBdr>
        <w:spacing w:after="0" w:lineRule="auto"/>
        <w:ind w:left="1080" w:hanging="360"/>
        <w:jc w:val="both"/>
        <w:rPr>
          <w:color w:val="000000"/>
          <w:sz w:val="24"/>
          <w:szCs w:val="24"/>
        </w:rPr>
      </w:pPr>
      <w:r w:rsidDel="00000000" w:rsidR="00000000" w:rsidRPr="00000000">
        <w:rPr>
          <w:color w:val="000000"/>
          <w:sz w:val="24"/>
          <w:szCs w:val="24"/>
          <w:rtl w:val="0"/>
        </w:rPr>
        <w:t xml:space="preserve">Price adjustment (in French = régularisation de prix): price reduction made by reference to the market price.</w:t>
      </w:r>
    </w:p>
    <w:p w:rsidR="00000000" w:rsidDel="00000000" w:rsidP="00000000" w:rsidRDefault="00000000" w:rsidRPr="00000000" w14:paraId="0000006F">
      <w:pPr>
        <w:numPr>
          <w:ilvl w:val="0"/>
          <w:numId w:val="5"/>
        </w:numPr>
        <w:pBdr>
          <w:top w:space="0" w:sz="0" w:val="nil"/>
          <w:left w:space="0" w:sz="0" w:val="nil"/>
          <w:bottom w:space="0" w:sz="0" w:val="nil"/>
          <w:right w:space="0" w:sz="0" w:val="nil"/>
          <w:between w:space="0" w:sz="0" w:val="nil"/>
        </w:pBdr>
        <w:spacing w:after="0" w:lineRule="auto"/>
        <w:ind w:left="1080" w:hanging="360"/>
        <w:jc w:val="both"/>
        <w:rPr>
          <w:color w:val="000000"/>
          <w:sz w:val="24"/>
          <w:szCs w:val="24"/>
        </w:rPr>
      </w:pPr>
      <w:r w:rsidDel="00000000" w:rsidR="00000000" w:rsidRPr="00000000">
        <w:rPr>
          <w:color w:val="000000"/>
          <w:sz w:val="24"/>
          <w:szCs w:val="24"/>
          <w:rtl w:val="0"/>
        </w:rPr>
        <w:t xml:space="preserve">Price reduction (in French = remise): price reduction granted by a </w:t>
      </w:r>
      <w:r w:rsidDel="00000000" w:rsidR="00000000" w:rsidRPr="00000000">
        <w:rPr>
          <w:sz w:val="24"/>
          <w:szCs w:val="24"/>
          <w:rtl w:val="0"/>
        </w:rPr>
        <w:t xml:space="preserve">Syensqo</w:t>
      </w:r>
      <w:r w:rsidDel="00000000" w:rsidR="00000000" w:rsidRPr="00000000">
        <w:rPr>
          <w:color w:val="000000"/>
          <w:sz w:val="24"/>
          <w:szCs w:val="24"/>
          <w:rtl w:val="0"/>
        </w:rPr>
        <w:t xml:space="preserve"> entity to a customer for a particular reason, other than those already referred to under volume discount, rebate or price adjustment. For example, reductions can be due to the size of a specific order, the carrying away of products by the customer or a bulk delivery. </w:t>
      </w:r>
    </w:p>
    <w:p w:rsidR="00000000" w:rsidDel="00000000" w:rsidP="00000000" w:rsidRDefault="00000000" w:rsidRPr="00000000" w14:paraId="00000070">
      <w:pPr>
        <w:numPr>
          <w:ilvl w:val="0"/>
          <w:numId w:val="5"/>
        </w:numPr>
        <w:pBdr>
          <w:top w:space="0" w:sz="0" w:val="nil"/>
          <w:left w:space="0" w:sz="0" w:val="nil"/>
          <w:bottom w:space="0" w:sz="0" w:val="nil"/>
          <w:right w:space="0" w:sz="0" w:val="nil"/>
          <w:between w:space="0" w:sz="0" w:val="nil"/>
        </w:pBdr>
        <w:spacing w:after="0" w:lineRule="auto"/>
        <w:ind w:left="1080" w:hanging="360"/>
        <w:jc w:val="both"/>
        <w:rPr>
          <w:color w:val="000000"/>
          <w:sz w:val="24"/>
          <w:szCs w:val="24"/>
        </w:rPr>
      </w:pPr>
      <w:r w:rsidDel="00000000" w:rsidR="00000000" w:rsidRPr="00000000">
        <w:rPr>
          <w:color w:val="000000"/>
          <w:sz w:val="24"/>
          <w:szCs w:val="24"/>
          <w:rtl w:val="0"/>
        </w:rPr>
        <w:t xml:space="preserve">Discount granted to customers (in French = escompte accordé aux clients): a discount foreseen in the payment terms is to be recognized in deduction from "R1000 - Net sales". </w:t>
      </w:r>
    </w:p>
    <w:p w:rsidR="00000000" w:rsidDel="00000000" w:rsidP="00000000" w:rsidRDefault="00000000" w:rsidRPr="00000000" w14:paraId="00000071">
      <w:pPr>
        <w:numPr>
          <w:ilvl w:val="0"/>
          <w:numId w:val="5"/>
        </w:numPr>
        <w:pBdr>
          <w:top w:space="0" w:sz="0" w:val="nil"/>
          <w:left w:space="0" w:sz="0" w:val="nil"/>
          <w:bottom w:space="0" w:sz="0" w:val="nil"/>
          <w:right w:space="0" w:sz="0" w:val="nil"/>
          <w:between w:space="0" w:sz="0" w:val="nil"/>
        </w:pBdr>
        <w:spacing w:after="0" w:lineRule="auto"/>
        <w:ind w:left="1080" w:hanging="360"/>
        <w:jc w:val="both"/>
        <w:rPr>
          <w:color w:val="000000"/>
          <w:sz w:val="24"/>
          <w:szCs w:val="24"/>
        </w:rPr>
      </w:pPr>
      <w:r w:rsidDel="00000000" w:rsidR="00000000" w:rsidRPr="00000000">
        <w:rPr>
          <w:color w:val="000000"/>
          <w:sz w:val="24"/>
          <w:szCs w:val="24"/>
          <w:rtl w:val="0"/>
        </w:rPr>
        <w:t xml:space="preserve">Note: Write-downs on inventories are not price reductions. </w:t>
      </w:r>
    </w:p>
    <w:p w:rsidR="00000000" w:rsidDel="00000000" w:rsidP="00000000" w:rsidRDefault="00000000" w:rsidRPr="00000000" w14:paraId="00000072">
      <w:pPr>
        <w:numPr>
          <w:ilvl w:val="0"/>
          <w:numId w:val="5"/>
        </w:numPr>
        <w:pBdr>
          <w:top w:space="0" w:sz="0" w:val="nil"/>
          <w:left w:space="0" w:sz="0" w:val="nil"/>
          <w:bottom w:space="0" w:sz="0" w:val="nil"/>
          <w:right w:space="0" w:sz="0" w:val="nil"/>
          <w:between w:space="0" w:sz="0" w:val="nil"/>
        </w:pBdr>
        <w:spacing w:after="0" w:lineRule="auto"/>
        <w:ind w:left="720" w:hanging="360"/>
        <w:rPr>
          <w:color w:val="000000"/>
          <w:sz w:val="24"/>
          <w:szCs w:val="24"/>
        </w:rPr>
      </w:pPr>
      <w:r w:rsidDel="00000000" w:rsidR="00000000" w:rsidRPr="00000000">
        <w:rPr>
          <w:color w:val="000000"/>
          <w:sz w:val="24"/>
          <w:szCs w:val="24"/>
          <w:rtl w:val="0"/>
        </w:rPr>
        <w:t xml:space="preserve">Penalties due by the customers (eg if customer requires a change of contractual delivery terms, if customer didn’t meet minimum volume commitments, if customer wishes to early terminate an agreement);</w:t>
      </w:r>
    </w:p>
    <w:p w:rsidR="00000000" w:rsidDel="00000000" w:rsidP="00000000" w:rsidRDefault="00000000" w:rsidRPr="00000000" w14:paraId="00000073">
      <w:pPr>
        <w:numPr>
          <w:ilvl w:val="0"/>
          <w:numId w:val="5"/>
        </w:numPr>
        <w:pBdr>
          <w:top w:space="0" w:sz="0" w:val="nil"/>
          <w:left w:space="0" w:sz="0" w:val="nil"/>
          <w:bottom w:space="0" w:sz="0" w:val="nil"/>
          <w:right w:space="0" w:sz="0" w:val="nil"/>
          <w:between w:space="0" w:sz="0" w:val="nil"/>
        </w:pBdr>
        <w:spacing w:after="0" w:lineRule="auto"/>
        <w:ind w:left="720" w:hanging="360"/>
        <w:rPr>
          <w:color w:val="000000"/>
          <w:sz w:val="24"/>
          <w:szCs w:val="24"/>
        </w:rPr>
      </w:pPr>
      <w:r w:rsidDel="00000000" w:rsidR="00000000" w:rsidRPr="00000000">
        <w:rPr>
          <w:color w:val="000000"/>
          <w:sz w:val="24"/>
          <w:szCs w:val="24"/>
          <w:rtl w:val="0"/>
        </w:rPr>
        <w:t xml:space="preserve">Costs invoiced to customer (shipping and handling fees invoiced (transport etc…), non-refundable packaging, insurance costs, samples, …); </w:t>
      </w:r>
    </w:p>
    <w:p w:rsidR="00000000" w:rsidDel="00000000" w:rsidP="00000000" w:rsidRDefault="00000000" w:rsidRPr="00000000" w14:paraId="00000074">
      <w:pPr>
        <w:numPr>
          <w:ilvl w:val="0"/>
          <w:numId w:val="5"/>
        </w:numPr>
        <w:pBdr>
          <w:top w:space="0" w:sz="0" w:val="nil"/>
          <w:left w:space="0" w:sz="0" w:val="nil"/>
          <w:bottom w:space="0" w:sz="0" w:val="nil"/>
          <w:right w:space="0" w:sz="0" w:val="nil"/>
          <w:between w:space="0" w:sz="0" w:val="nil"/>
        </w:pBdr>
        <w:spacing w:after="0" w:lineRule="auto"/>
        <w:ind w:left="720" w:hanging="360"/>
        <w:rPr>
          <w:color w:val="000000"/>
          <w:sz w:val="24"/>
          <w:szCs w:val="24"/>
        </w:rPr>
      </w:pPr>
      <w:r w:rsidDel="00000000" w:rsidR="00000000" w:rsidRPr="00000000">
        <w:rPr>
          <w:color w:val="000000"/>
          <w:sz w:val="24"/>
          <w:szCs w:val="24"/>
          <w:rtl w:val="0"/>
        </w:rPr>
        <w:t xml:space="preserve">Replacement of products (defective, off specification, …)</w:t>
      </w:r>
      <w:r w:rsidDel="00000000" w:rsidR="00000000" w:rsidRPr="00000000">
        <w:rPr>
          <w:color w:val="000000"/>
          <w:sz w:val="24"/>
          <w:szCs w:val="24"/>
          <w:vertAlign w:val="superscript"/>
        </w:rPr>
        <w:footnoteReference w:customMarkFollows="0" w:id="1"/>
      </w:r>
      <w:r w:rsidDel="00000000" w:rsidR="00000000" w:rsidRPr="00000000">
        <w:rPr>
          <w:color w:val="000000"/>
          <w:sz w:val="24"/>
          <w:szCs w:val="24"/>
          <w:rtl w:val="0"/>
        </w:rPr>
        <w:t xml:space="preserve">;</w:t>
      </w:r>
    </w:p>
    <w:p w:rsidR="00000000" w:rsidDel="00000000" w:rsidP="00000000" w:rsidRDefault="00000000" w:rsidRPr="00000000" w14:paraId="00000075">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Amounts of taxes borne by </w:t>
      </w:r>
      <w:r w:rsidDel="00000000" w:rsidR="00000000" w:rsidRPr="00000000">
        <w:rPr>
          <w:sz w:val="24"/>
          <w:szCs w:val="24"/>
          <w:rtl w:val="0"/>
        </w:rPr>
        <w:t xml:space="preserve">Syensqo</w:t>
      </w:r>
      <w:r w:rsidDel="00000000" w:rsidR="00000000" w:rsidRPr="00000000">
        <w:rPr>
          <w:color w:val="000000"/>
          <w:sz w:val="24"/>
          <w:szCs w:val="24"/>
          <w:rtl w:val="0"/>
        </w:rPr>
        <w:t xml:space="preserve"> but rebilled to the customer. The taxes borne by </w:t>
      </w:r>
      <w:r w:rsidDel="00000000" w:rsidR="00000000" w:rsidRPr="00000000">
        <w:rPr>
          <w:sz w:val="24"/>
          <w:szCs w:val="24"/>
          <w:rtl w:val="0"/>
        </w:rPr>
        <w:t xml:space="preserve">Syensqo</w:t>
      </w:r>
      <w:r w:rsidDel="00000000" w:rsidR="00000000" w:rsidRPr="00000000">
        <w:rPr>
          <w:color w:val="000000"/>
          <w:sz w:val="24"/>
          <w:szCs w:val="24"/>
          <w:rtl w:val="0"/>
        </w:rPr>
        <w:t xml:space="preserve"> are presented as an expense;</w:t>
      </w:r>
    </w:p>
    <w:p w:rsidR="00000000" w:rsidDel="00000000" w:rsidP="00000000" w:rsidRDefault="00000000" w:rsidRPr="00000000" w14:paraId="00000076">
      <w:pPr>
        <w:numPr>
          <w:ilvl w:val="0"/>
          <w:numId w:val="5"/>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color w:val="000000"/>
          <w:sz w:val="24"/>
          <w:szCs w:val="24"/>
          <w:rtl w:val="0"/>
        </w:rPr>
        <w:t xml:space="preserve">The share of amounts billed to customers that corresponds to payments for facilities made available to customers (i.e. capex recovery);  </w:t>
      </w:r>
    </w:p>
    <w:p w:rsidR="00000000" w:rsidDel="00000000" w:rsidP="00000000" w:rsidRDefault="00000000" w:rsidRPr="00000000" w14:paraId="00000077">
      <w:pPr>
        <w:rPr>
          <w:sz w:val="24"/>
          <w:szCs w:val="24"/>
        </w:rPr>
      </w:pPr>
      <w:r w:rsidDel="00000000" w:rsidR="00000000" w:rsidRPr="00000000">
        <w:rPr>
          <w:sz w:val="24"/>
          <w:szCs w:val="24"/>
          <w:rtl w:val="0"/>
        </w:rPr>
        <w:t xml:space="preserve">This account excludes:</w:t>
      </w:r>
    </w:p>
    <w:p w:rsidR="00000000" w:rsidDel="00000000" w:rsidP="00000000" w:rsidRDefault="00000000" w:rsidRPr="00000000" w14:paraId="00000078">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Indirect taxes that </w:t>
      </w:r>
      <w:r w:rsidDel="00000000" w:rsidR="00000000" w:rsidRPr="00000000">
        <w:rPr>
          <w:sz w:val="24"/>
          <w:szCs w:val="24"/>
          <w:rtl w:val="0"/>
        </w:rPr>
        <w:t xml:space="preserve">Syensqo</w:t>
      </w:r>
      <w:r w:rsidDel="00000000" w:rsidR="00000000" w:rsidRPr="00000000">
        <w:rPr>
          <w:color w:val="000000"/>
          <w:sz w:val="24"/>
          <w:szCs w:val="24"/>
          <w:rtl w:val="0"/>
        </w:rPr>
        <w:t xml:space="preserve"> will pay to the tax authorities on behalf of the customers (VAT, sales taxes, …);</w:t>
      </w:r>
    </w:p>
    <w:p w:rsidR="00000000" w:rsidDel="00000000" w:rsidP="00000000" w:rsidRDefault="00000000" w:rsidRPr="00000000" w14:paraId="00000079">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Raw materials supplied and invoiced to a subcontractor. NB: revenue from the sale of raw materials to a subcontractor is generally not recognized, because control over the items is generally not lost.</w:t>
      </w:r>
    </w:p>
    <w:p w:rsidR="00000000" w:rsidDel="00000000" w:rsidP="00000000" w:rsidRDefault="00000000" w:rsidRPr="00000000" w14:paraId="0000007A">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Sales of lands, (industrial) assets, railcars, caverns …</w:t>
      </w:r>
    </w:p>
    <w:p w:rsidR="00000000" w:rsidDel="00000000" w:rsidP="00000000" w:rsidRDefault="00000000" w:rsidRPr="00000000" w14:paraId="0000007B">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Subsidies received (e.g. environmental-related subsidies for our cogeneration units are recognized in deduction from costs)</w:t>
      </w:r>
    </w:p>
    <w:p w:rsidR="00000000" w:rsidDel="00000000" w:rsidP="00000000" w:rsidRDefault="00000000" w:rsidRPr="00000000" w14:paraId="0000007C">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Commissions paid to agents</w:t>
      </w:r>
    </w:p>
    <w:p w:rsidR="00000000" w:rsidDel="00000000" w:rsidP="00000000" w:rsidRDefault="00000000" w:rsidRPr="00000000" w14:paraId="0000007D">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Amounts invoiced as guarantee for returnable packaging: recognized in a trade payables account;</w:t>
      </w:r>
    </w:p>
    <w:p w:rsidR="00000000" w:rsidDel="00000000" w:rsidP="00000000" w:rsidRDefault="00000000" w:rsidRPr="00000000" w14:paraId="0000007E">
      <w:pPr>
        <w:numPr>
          <w:ilvl w:val="0"/>
          <w:numId w:val="5"/>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color w:val="000000"/>
          <w:sz w:val="24"/>
          <w:szCs w:val="24"/>
          <w:rtl w:val="0"/>
        </w:rPr>
        <w:t xml:space="preserve">Advance billing, generally recognized as a contract liability; </w:t>
      </w:r>
    </w:p>
    <w:p w:rsidR="00000000" w:rsidDel="00000000" w:rsidP="00000000" w:rsidRDefault="00000000" w:rsidRPr="00000000" w14:paraId="0000007F">
      <w:pPr>
        <w:pStyle w:val="Heading2"/>
        <w:numPr>
          <w:ilvl w:val="1"/>
          <w:numId w:val="1"/>
        </w:numPr>
        <w:ind w:left="1440" w:hanging="360"/>
        <w:rPr/>
      </w:pPr>
      <w:bookmarkStart w:colFirst="0" w:colLast="0" w:name="_heading=h.9q4aqgqpndm0" w:id="5"/>
      <w:bookmarkEnd w:id="5"/>
      <w:r w:rsidDel="00000000" w:rsidR="00000000" w:rsidRPr="00000000">
        <w:rPr>
          <w:rtl w:val="0"/>
        </w:rPr>
        <w:t xml:space="preserve">R10600 – Royalties received according to sales</w:t>
      </w:r>
    </w:p>
    <w:p w:rsidR="00000000" w:rsidDel="00000000" w:rsidP="00000000" w:rsidRDefault="00000000" w:rsidRPr="00000000" w14:paraId="00000080">
      <w:pPr>
        <w:jc w:val="both"/>
        <w:rPr>
          <w:sz w:val="24"/>
          <w:szCs w:val="24"/>
        </w:rPr>
      </w:pPr>
      <w:r w:rsidDel="00000000" w:rsidR="00000000" w:rsidRPr="00000000">
        <w:rPr>
          <w:sz w:val="24"/>
          <w:szCs w:val="24"/>
          <w:rtl w:val="0"/>
        </w:rPr>
        <w:t xml:space="preserve">This account includes income generated by licensing in the form of fees for the use of production techniques that generate sales. This includes all industrial royalties based on sales of: </w:t>
      </w:r>
    </w:p>
    <w:p w:rsidR="00000000" w:rsidDel="00000000" w:rsidP="00000000" w:rsidRDefault="00000000" w:rsidRPr="00000000" w14:paraId="00000081">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licensing fees or patents received:</w:t>
      </w:r>
    </w:p>
    <w:p w:rsidR="00000000" w:rsidDel="00000000" w:rsidP="00000000" w:rsidRDefault="00000000" w:rsidRPr="00000000" w14:paraId="00000082">
      <w:pPr>
        <w:numPr>
          <w:ilvl w:val="1"/>
          <w:numId w:val="17"/>
        </w:numPr>
        <w:pBdr>
          <w:top w:space="0" w:sz="0" w:val="nil"/>
          <w:left w:space="0" w:sz="0" w:val="nil"/>
          <w:bottom w:space="0" w:sz="0" w:val="nil"/>
          <w:right w:space="0" w:sz="0" w:val="nil"/>
          <w:between w:space="0" w:sz="0" w:val="nil"/>
        </w:pBdr>
        <w:spacing w:after="0" w:lineRule="auto"/>
        <w:ind w:left="1440" w:hanging="360"/>
        <w:jc w:val="both"/>
        <w:rPr>
          <w:color w:val="000000"/>
          <w:sz w:val="24"/>
          <w:szCs w:val="24"/>
        </w:rPr>
      </w:pPr>
      <w:r w:rsidDel="00000000" w:rsidR="00000000" w:rsidRPr="00000000">
        <w:rPr>
          <w:color w:val="000000"/>
          <w:sz w:val="24"/>
          <w:szCs w:val="24"/>
          <w:rtl w:val="0"/>
        </w:rPr>
        <w:t xml:space="preserve">amounts received from a partner under alliance agreements for promoting one of their products;</w:t>
      </w:r>
    </w:p>
    <w:p w:rsidR="00000000" w:rsidDel="00000000" w:rsidP="00000000" w:rsidRDefault="00000000" w:rsidRPr="00000000" w14:paraId="00000083">
      <w:pPr>
        <w:numPr>
          <w:ilvl w:val="1"/>
          <w:numId w:val="17"/>
        </w:numPr>
        <w:pBdr>
          <w:top w:space="0" w:sz="0" w:val="nil"/>
          <w:left w:space="0" w:sz="0" w:val="nil"/>
          <w:bottom w:space="0" w:sz="0" w:val="nil"/>
          <w:right w:space="0" w:sz="0" w:val="nil"/>
          <w:between w:space="0" w:sz="0" w:val="nil"/>
        </w:pBdr>
        <w:spacing w:after="0" w:lineRule="auto"/>
        <w:ind w:left="1440" w:hanging="360"/>
        <w:jc w:val="both"/>
        <w:rPr>
          <w:color w:val="000000"/>
          <w:sz w:val="24"/>
          <w:szCs w:val="24"/>
        </w:rPr>
      </w:pPr>
      <w:r w:rsidDel="00000000" w:rsidR="00000000" w:rsidRPr="00000000">
        <w:rPr>
          <w:color w:val="000000"/>
          <w:sz w:val="24"/>
          <w:szCs w:val="24"/>
          <w:rtl w:val="0"/>
        </w:rPr>
        <w:t xml:space="preserve">milestone payments received according to research agreement with external partners;</w:t>
      </w:r>
    </w:p>
    <w:p w:rsidR="00000000" w:rsidDel="00000000" w:rsidP="00000000" w:rsidRDefault="00000000" w:rsidRPr="00000000" w14:paraId="00000084">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processes;</w:t>
      </w:r>
    </w:p>
    <w:p w:rsidR="00000000" w:rsidDel="00000000" w:rsidP="00000000" w:rsidRDefault="00000000" w:rsidRPr="00000000" w14:paraId="00000085">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designs;</w:t>
      </w:r>
    </w:p>
    <w:p w:rsidR="00000000" w:rsidDel="00000000" w:rsidP="00000000" w:rsidRDefault="00000000" w:rsidRPr="00000000" w14:paraId="00000086">
      <w:pPr>
        <w:numPr>
          <w:ilvl w:val="0"/>
          <w:numId w:val="5"/>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models, etc.</w:t>
      </w:r>
    </w:p>
    <w:p w:rsidR="00000000" w:rsidDel="00000000" w:rsidP="00000000" w:rsidRDefault="00000000" w:rsidRPr="00000000" w14:paraId="00000087">
      <w:pPr>
        <w:pBdr>
          <w:top w:space="0" w:sz="0" w:val="nil"/>
          <w:left w:space="0" w:sz="0" w:val="nil"/>
          <w:bottom w:space="0" w:sz="0" w:val="nil"/>
          <w:right w:space="0" w:sz="0" w:val="nil"/>
          <w:between w:space="0" w:sz="0" w:val="nil"/>
        </w:pBdr>
        <w:spacing w:after="0" w:lineRule="auto"/>
        <w:ind w:left="720" w:firstLine="0"/>
        <w:jc w:val="both"/>
        <w:rPr>
          <w:color w:val="000000"/>
          <w:sz w:val="24"/>
          <w:szCs w:val="24"/>
        </w:rPr>
      </w:pPr>
      <w:r w:rsidDel="00000000" w:rsidR="00000000" w:rsidRPr="00000000">
        <w:rPr>
          <w:rtl w:val="0"/>
        </w:rPr>
      </w:r>
    </w:p>
    <w:p w:rsidR="00000000" w:rsidDel="00000000" w:rsidP="00000000" w:rsidRDefault="00000000" w:rsidRPr="00000000" w14:paraId="00000088">
      <w:pPr>
        <w:pBdr>
          <w:top w:space="0" w:sz="0" w:val="nil"/>
          <w:left w:space="0" w:sz="0" w:val="nil"/>
          <w:bottom w:space="0" w:sz="0" w:val="nil"/>
          <w:right w:space="0" w:sz="0" w:val="nil"/>
          <w:between w:space="0" w:sz="0" w:val="nil"/>
        </w:pBdr>
        <w:spacing w:after="0" w:lineRule="auto"/>
        <w:jc w:val="both"/>
        <w:rPr>
          <w:color w:val="000000"/>
          <w:sz w:val="24"/>
          <w:szCs w:val="24"/>
        </w:rPr>
      </w:pPr>
      <w:r w:rsidDel="00000000" w:rsidR="00000000" w:rsidRPr="00000000">
        <w:rPr>
          <w:color w:val="000000"/>
          <w:sz w:val="24"/>
          <w:szCs w:val="24"/>
          <w:rtl w:val="0"/>
        </w:rPr>
        <w:t xml:space="preserve">Also refer to 5.j.</w:t>
      </w:r>
    </w:p>
    <w:p w:rsidR="00000000" w:rsidDel="00000000" w:rsidP="00000000" w:rsidRDefault="00000000" w:rsidRPr="00000000" w14:paraId="00000089">
      <w:pPr>
        <w:pBdr>
          <w:top w:space="0" w:sz="0" w:val="nil"/>
          <w:left w:space="0" w:sz="0" w:val="nil"/>
          <w:bottom w:space="0" w:sz="0" w:val="nil"/>
          <w:right w:space="0" w:sz="0" w:val="nil"/>
          <w:between w:space="0" w:sz="0" w:val="nil"/>
        </w:pBdr>
        <w:jc w:val="both"/>
        <w:rPr>
          <w:color w:val="000000"/>
          <w:sz w:val="24"/>
          <w:szCs w:val="24"/>
        </w:rPr>
      </w:pPr>
      <w:r w:rsidDel="00000000" w:rsidR="00000000" w:rsidRPr="00000000">
        <w:rPr>
          <w:rtl w:val="0"/>
        </w:rPr>
      </w:r>
    </w:p>
    <w:p w:rsidR="00000000" w:rsidDel="00000000" w:rsidP="00000000" w:rsidRDefault="00000000" w:rsidRPr="00000000" w14:paraId="0000008A">
      <w:pPr>
        <w:pStyle w:val="Heading2"/>
        <w:numPr>
          <w:ilvl w:val="1"/>
          <w:numId w:val="1"/>
        </w:numPr>
        <w:ind w:left="1440" w:hanging="360"/>
        <w:rPr/>
      </w:pPr>
      <w:bookmarkStart w:colFirst="0" w:colLast="0" w:name="_heading=h.avtcbne1ub36" w:id="6"/>
      <w:bookmarkEnd w:id="6"/>
      <w:r w:rsidDel="00000000" w:rsidR="00000000" w:rsidRPr="00000000">
        <w:rPr>
          <w:rtl w:val="0"/>
        </w:rPr>
        <w:t xml:space="preserve">R11200/R11400/R11500 – Other revenue on activities</w:t>
      </w:r>
    </w:p>
    <w:p w:rsidR="00000000" w:rsidDel="00000000" w:rsidP="00000000" w:rsidRDefault="00000000" w:rsidRPr="00000000" w14:paraId="0000008B">
      <w:pPr>
        <w:rPr>
          <w:sz w:val="24"/>
          <w:szCs w:val="24"/>
        </w:rPr>
      </w:pPr>
      <w:r w:rsidDel="00000000" w:rsidR="00000000" w:rsidRPr="00000000">
        <w:rPr>
          <w:sz w:val="24"/>
          <w:szCs w:val="24"/>
          <w:rtl w:val="0"/>
        </w:rPr>
        <w:t xml:space="preserve">These accounts include: </w:t>
      </w:r>
    </w:p>
    <w:p w:rsidR="00000000" w:rsidDel="00000000" w:rsidP="00000000" w:rsidRDefault="00000000" w:rsidRPr="00000000" w14:paraId="0000008C">
      <w:pPr>
        <w:numPr>
          <w:ilvl w:val="0"/>
          <w:numId w:val="18"/>
        </w:numPr>
        <w:pBdr>
          <w:top w:space="0" w:sz="0" w:val="nil"/>
          <w:left w:space="0" w:sz="0" w:val="nil"/>
          <w:bottom w:space="0" w:sz="0" w:val="nil"/>
          <w:right w:space="0" w:sz="0" w:val="nil"/>
          <w:between w:space="0" w:sz="0" w:val="nil"/>
        </w:pBdr>
        <w:spacing w:after="0" w:lineRule="auto"/>
        <w:ind w:left="720" w:hanging="360"/>
        <w:rPr>
          <w:color w:val="000000"/>
          <w:sz w:val="24"/>
          <w:szCs w:val="24"/>
        </w:rPr>
      </w:pPr>
      <w:r w:rsidDel="00000000" w:rsidR="00000000" w:rsidRPr="00000000">
        <w:rPr>
          <w:color w:val="000000"/>
          <w:sz w:val="24"/>
          <w:szCs w:val="24"/>
          <w:rtl w:val="0"/>
        </w:rPr>
        <w:t xml:space="preserve">The sale of utilities (eg electricity, gas) to third parties, including those operating on the same industrial site;</w:t>
      </w:r>
    </w:p>
    <w:p w:rsidR="00000000" w:rsidDel="00000000" w:rsidP="00000000" w:rsidRDefault="00000000" w:rsidRPr="00000000" w14:paraId="0000008D">
      <w:pPr>
        <w:numPr>
          <w:ilvl w:val="0"/>
          <w:numId w:val="18"/>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Other revenue deemed incidental by the Group (e.g. temporary contracts following the sale of businesses (e.g. related to accounting services, IT services, …), excluding sales of finished goods);</w:t>
      </w:r>
    </w:p>
    <w:p w:rsidR="00000000" w:rsidDel="00000000" w:rsidP="00000000" w:rsidRDefault="00000000" w:rsidRPr="00000000" w14:paraId="0000008E">
      <w:pPr>
        <w:numPr>
          <w:ilvl w:val="0"/>
          <w:numId w:val="18"/>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The sale of green certificates (e.g. Renewable Energy Certificates (RECs)). In case generation of green certificates, a by-product of the production of goods, is integrated in the decision to produce, the sale of the green certificates may be presented in R10000 Net sales, subject to obtaining the approval from Corporate Controlling as well as GAR;</w:t>
      </w:r>
    </w:p>
    <w:p w:rsidR="00000000" w:rsidDel="00000000" w:rsidP="00000000" w:rsidRDefault="00000000" w:rsidRPr="00000000" w14:paraId="0000008F">
      <w:pPr>
        <w:numPr>
          <w:ilvl w:val="0"/>
          <w:numId w:val="18"/>
        </w:numPr>
        <w:pBdr>
          <w:top w:space="0" w:sz="0" w:val="nil"/>
          <w:left w:space="0" w:sz="0" w:val="nil"/>
          <w:bottom w:space="0" w:sz="0" w:val="nil"/>
          <w:right w:space="0" w:sz="0" w:val="nil"/>
          <w:between w:space="0" w:sz="0" w:val="nil"/>
        </w:pBdr>
        <w:spacing w:after="0" w:lineRule="auto"/>
        <w:ind w:left="720" w:hanging="360"/>
        <w:rPr>
          <w:color w:val="000000"/>
          <w:sz w:val="24"/>
          <w:szCs w:val="24"/>
        </w:rPr>
      </w:pPr>
      <w:r w:rsidDel="00000000" w:rsidR="00000000" w:rsidRPr="00000000">
        <w:rPr>
          <w:color w:val="000000"/>
          <w:sz w:val="24"/>
          <w:szCs w:val="24"/>
          <w:rtl w:val="0"/>
        </w:rPr>
        <w:t xml:space="preserve">Industrial services (eg engineering), administrative, selling and marketing services (management fees, shared services, …);</w:t>
      </w:r>
    </w:p>
    <w:p w:rsidR="00000000" w:rsidDel="00000000" w:rsidP="00000000" w:rsidRDefault="00000000" w:rsidRPr="00000000" w14:paraId="00000090">
      <w:pPr>
        <w:numPr>
          <w:ilvl w:val="0"/>
          <w:numId w:val="18"/>
        </w:numPr>
        <w:pBdr>
          <w:top w:space="0" w:sz="0" w:val="nil"/>
          <w:left w:space="0" w:sz="0" w:val="nil"/>
          <w:bottom w:space="0" w:sz="0" w:val="nil"/>
          <w:right w:space="0" w:sz="0" w:val="nil"/>
          <w:between w:space="0" w:sz="0" w:val="nil"/>
        </w:pBdr>
        <w:ind w:left="720" w:hanging="360"/>
        <w:rPr>
          <w:color w:val="000000"/>
          <w:sz w:val="24"/>
          <w:szCs w:val="24"/>
        </w:rPr>
      </w:pPr>
      <w:r w:rsidDel="00000000" w:rsidR="00000000" w:rsidRPr="00000000">
        <w:rPr>
          <w:color w:val="000000"/>
          <w:sz w:val="24"/>
          <w:szCs w:val="24"/>
          <w:rtl w:val="0"/>
        </w:rPr>
        <w:t xml:space="preserve">Research services (rebilling research centers).</w:t>
      </w:r>
    </w:p>
    <w:p w:rsidR="00000000" w:rsidDel="00000000" w:rsidP="00000000" w:rsidRDefault="00000000" w:rsidRPr="00000000" w14:paraId="00000091">
      <w:pPr>
        <w:rPr>
          <w:sz w:val="24"/>
          <w:szCs w:val="24"/>
        </w:rPr>
      </w:pPr>
      <w:r w:rsidDel="00000000" w:rsidR="00000000" w:rsidRPr="00000000">
        <w:rPr>
          <w:rtl w:val="0"/>
        </w:rPr>
      </w:r>
    </w:p>
    <w:p w:rsidR="00000000" w:rsidDel="00000000" w:rsidP="00000000" w:rsidRDefault="00000000" w:rsidRPr="00000000" w14:paraId="00000092">
      <w:pPr>
        <w:rPr>
          <w:sz w:val="24"/>
          <w:szCs w:val="24"/>
        </w:rPr>
      </w:pPr>
      <w:r w:rsidDel="00000000" w:rsidR="00000000" w:rsidRPr="00000000">
        <w:rPr>
          <w:rtl w:val="0"/>
        </w:rPr>
      </w:r>
    </w:p>
    <w:p w:rsidR="00000000" w:rsidDel="00000000" w:rsidP="00000000" w:rsidRDefault="00000000" w:rsidRPr="00000000" w14:paraId="00000093">
      <w:pPr>
        <w:pStyle w:val="Heading2"/>
        <w:numPr>
          <w:ilvl w:val="1"/>
          <w:numId w:val="1"/>
        </w:numPr>
        <w:ind w:left="1440" w:hanging="360"/>
        <w:rPr/>
      </w:pPr>
      <w:bookmarkStart w:colFirst="0" w:colLast="0" w:name="_heading=h.88q55azaifuu" w:id="7"/>
      <w:bookmarkEnd w:id="7"/>
      <w:r w:rsidDel="00000000" w:rsidR="00000000" w:rsidRPr="00000000">
        <w:rPr>
          <w:rtl w:val="0"/>
        </w:rPr>
        <w:t xml:space="preserve">BFC accounts – Statement of financial position</w:t>
      </w:r>
    </w:p>
    <w:p w:rsidR="00000000" w:rsidDel="00000000" w:rsidP="00000000" w:rsidRDefault="00000000" w:rsidRPr="00000000" w14:paraId="00000094">
      <w:pPr>
        <w:rPr>
          <w:sz w:val="24"/>
          <w:szCs w:val="24"/>
        </w:rPr>
      </w:pPr>
      <w:r w:rsidDel="00000000" w:rsidR="00000000" w:rsidRPr="00000000">
        <w:rPr>
          <w:rtl w:val="0"/>
        </w:rPr>
      </w:r>
    </w:p>
    <w:tbl>
      <w:tblPr>
        <w:tblStyle w:val="Table2"/>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4680"/>
        <w:gridCol w:w="4716"/>
        <w:tblGridChange w:id="0">
          <w:tblGrid>
            <w:gridCol w:w="4680"/>
            <w:gridCol w:w="4716"/>
          </w:tblGrid>
        </w:tblGridChange>
      </w:tblGrid>
      <w:tr>
        <w:trPr>
          <w:cantSplit w:val="0"/>
          <w:tblHeader w:val="0"/>
        </w:trPr>
        <w:tc>
          <w:tcPr/>
          <w:p w:rsidR="00000000" w:rsidDel="00000000" w:rsidP="00000000" w:rsidRDefault="00000000" w:rsidRPr="00000000" w14:paraId="00000095">
            <w:pPr>
              <w:rPr>
                <w:b w:val="1"/>
                <w:bCs w:val="1"/>
                <w:sz w:val="24"/>
                <w:szCs w:val="24"/>
              </w:rPr>
            </w:pPr>
            <w:r w:rsidDel="00000000" w:rsidR="00000000" w:rsidRPr="00000000">
              <w:rPr>
                <w:b w:val="1"/>
                <w:bCs w:val="1"/>
                <w:sz w:val="24"/>
                <w:szCs w:val="24"/>
                <w:rtl w:val="0"/>
              </w:rPr>
              <w:t xml:space="preserve">BFC account</w:t>
            </w:r>
          </w:p>
        </w:tc>
        <w:tc>
          <w:tcPr/>
          <w:p w:rsidR="00000000" w:rsidDel="00000000" w:rsidP="00000000" w:rsidRDefault="00000000" w:rsidRPr="00000000" w14:paraId="00000096">
            <w:pPr>
              <w:rPr>
                <w:b w:val="1"/>
                <w:bCs w:val="1"/>
                <w:sz w:val="24"/>
                <w:szCs w:val="24"/>
              </w:rPr>
            </w:pPr>
            <w:r w:rsidDel="00000000" w:rsidR="00000000" w:rsidRPr="00000000">
              <w:rPr>
                <w:b w:val="1"/>
                <w:bCs w:val="1"/>
                <w:sz w:val="24"/>
                <w:szCs w:val="24"/>
                <w:rtl w:val="0"/>
              </w:rPr>
              <w:t xml:space="preserve">Content</w:t>
            </w:r>
          </w:p>
        </w:tc>
      </w:tr>
      <w:tr>
        <w:trPr>
          <w:cantSplit w:val="0"/>
          <w:tblHeader w:val="0"/>
        </w:trPr>
        <w:tc>
          <w:tcPr/>
          <w:p w:rsidR="00000000" w:rsidDel="00000000" w:rsidP="00000000" w:rsidRDefault="00000000" w:rsidRPr="00000000" w14:paraId="00000097">
            <w:pPr>
              <w:jc w:val="both"/>
              <w:rPr>
                <w:sz w:val="24"/>
                <w:szCs w:val="24"/>
              </w:rPr>
            </w:pPr>
            <w:r w:rsidDel="00000000" w:rsidR="00000000" w:rsidRPr="00000000">
              <w:rPr>
                <w:sz w:val="24"/>
                <w:szCs w:val="24"/>
                <w:rtl w:val="0"/>
              </w:rPr>
              <w:t xml:space="preserve">A20900 Long-term receivables</w:t>
            </w:r>
          </w:p>
        </w:tc>
        <w:tc>
          <w:tcPr/>
          <w:p w:rsidR="00000000" w:rsidDel="00000000" w:rsidP="00000000" w:rsidRDefault="00000000" w:rsidRPr="00000000" w14:paraId="00000098">
            <w:pPr>
              <w:jc w:val="both"/>
              <w:rPr>
                <w:sz w:val="24"/>
                <w:szCs w:val="24"/>
              </w:rPr>
            </w:pPr>
            <w:r w:rsidDel="00000000" w:rsidR="00000000" w:rsidRPr="00000000">
              <w:rPr>
                <w:sz w:val="24"/>
                <w:szCs w:val="24"/>
                <w:rtl w:val="0"/>
              </w:rPr>
              <w:t xml:space="preserve">Receivables with a maturity date in excess of one year as of reporting date</w:t>
            </w:r>
          </w:p>
        </w:tc>
      </w:tr>
      <w:tr>
        <w:trPr>
          <w:cantSplit w:val="0"/>
          <w:tblHeader w:val="0"/>
        </w:trPr>
        <w:tc>
          <w:tcPr/>
          <w:p w:rsidR="00000000" w:rsidDel="00000000" w:rsidP="00000000" w:rsidRDefault="00000000" w:rsidRPr="00000000" w14:paraId="00000099">
            <w:pPr>
              <w:jc w:val="both"/>
              <w:rPr>
                <w:sz w:val="24"/>
                <w:szCs w:val="24"/>
              </w:rPr>
            </w:pPr>
            <w:r w:rsidDel="00000000" w:rsidR="00000000" w:rsidRPr="00000000">
              <w:rPr>
                <w:sz w:val="24"/>
                <w:szCs w:val="24"/>
                <w:rtl w:val="0"/>
              </w:rPr>
              <w:t xml:space="preserve">A29090 Long-term receivables – Write-down </w:t>
            </w:r>
          </w:p>
        </w:tc>
        <w:tc>
          <w:tcPr/>
          <w:p w:rsidR="00000000" w:rsidDel="00000000" w:rsidP="00000000" w:rsidRDefault="00000000" w:rsidRPr="00000000" w14:paraId="0000009A">
            <w:pPr>
              <w:jc w:val="both"/>
              <w:rPr>
                <w:sz w:val="24"/>
                <w:szCs w:val="24"/>
              </w:rPr>
            </w:pPr>
            <w:r w:rsidDel="00000000" w:rsidR="00000000" w:rsidRPr="00000000">
              <w:rPr>
                <w:sz w:val="24"/>
                <w:szCs w:val="24"/>
                <w:rtl w:val="0"/>
              </w:rPr>
              <w:t xml:space="preserve">Amounts related to impairments of long-term receivables</w:t>
            </w:r>
          </w:p>
        </w:tc>
      </w:tr>
      <w:tr>
        <w:trPr>
          <w:cantSplit w:val="0"/>
          <w:tblHeader w:val="0"/>
        </w:trPr>
        <w:tc>
          <w:tcPr/>
          <w:p w:rsidR="00000000" w:rsidDel="00000000" w:rsidP="00000000" w:rsidRDefault="00000000" w:rsidRPr="00000000" w14:paraId="0000009B">
            <w:pPr>
              <w:jc w:val="both"/>
              <w:rPr>
                <w:sz w:val="24"/>
                <w:szCs w:val="24"/>
              </w:rPr>
            </w:pPr>
            <w:r w:rsidDel="00000000" w:rsidR="00000000" w:rsidRPr="00000000">
              <w:rPr>
                <w:sz w:val="24"/>
                <w:szCs w:val="24"/>
                <w:rtl w:val="0"/>
              </w:rPr>
              <w:t xml:space="preserve">A41100 Trade receivables</w:t>
            </w:r>
          </w:p>
        </w:tc>
        <w:tc>
          <w:tcPr/>
          <w:p w:rsidR="00000000" w:rsidDel="00000000" w:rsidP="00000000" w:rsidRDefault="00000000" w:rsidRPr="00000000" w14:paraId="0000009C">
            <w:pPr>
              <w:jc w:val="both"/>
              <w:rPr>
                <w:sz w:val="24"/>
                <w:szCs w:val="24"/>
              </w:rPr>
            </w:pPr>
            <w:r w:rsidDel="00000000" w:rsidR="00000000" w:rsidRPr="00000000">
              <w:rPr>
                <w:sz w:val="24"/>
                <w:szCs w:val="24"/>
                <w:rtl w:val="0"/>
              </w:rPr>
              <w:t xml:space="preserve">Amounts invoiced to the Group’s customers, with a maturity of less than one year as of reporting date</w:t>
            </w:r>
          </w:p>
        </w:tc>
      </w:tr>
      <w:tr>
        <w:trPr>
          <w:cantSplit w:val="0"/>
          <w:tblHeader w:val="0"/>
        </w:trPr>
        <w:tc>
          <w:tcPr/>
          <w:p w:rsidR="00000000" w:rsidDel="00000000" w:rsidP="00000000" w:rsidRDefault="00000000" w:rsidRPr="00000000" w14:paraId="0000009D">
            <w:pPr>
              <w:jc w:val="both"/>
              <w:rPr>
                <w:sz w:val="24"/>
                <w:szCs w:val="24"/>
              </w:rPr>
            </w:pPr>
            <w:r w:rsidDel="00000000" w:rsidR="00000000" w:rsidRPr="00000000">
              <w:rPr>
                <w:sz w:val="24"/>
                <w:szCs w:val="24"/>
                <w:rtl w:val="0"/>
              </w:rPr>
              <w:t xml:space="preserve">A49100 Trade receivables – Write down</w:t>
            </w:r>
          </w:p>
        </w:tc>
        <w:tc>
          <w:tcPr/>
          <w:p w:rsidR="00000000" w:rsidDel="00000000" w:rsidP="00000000" w:rsidRDefault="00000000" w:rsidRPr="00000000" w14:paraId="0000009E">
            <w:pPr>
              <w:jc w:val="both"/>
              <w:rPr>
                <w:sz w:val="24"/>
                <w:szCs w:val="24"/>
              </w:rPr>
            </w:pPr>
            <w:r w:rsidDel="00000000" w:rsidR="00000000" w:rsidRPr="00000000">
              <w:rPr>
                <w:sz w:val="24"/>
                <w:szCs w:val="24"/>
                <w:rtl w:val="0"/>
              </w:rPr>
              <w:t xml:space="preserve">Amounts related to impairments of trade receivables (ie impairments recognized by the GBUs considering their assessment of the creditworthiness of their customers, and expected credit losses recognized following IFRS 9 guidance (top entry made quarterly by consolidation team)).</w:t>
            </w:r>
          </w:p>
        </w:tc>
      </w:tr>
      <w:tr>
        <w:trPr>
          <w:cantSplit w:val="0"/>
          <w:tblHeader w:val="0"/>
        </w:trPr>
        <w:tc>
          <w:tcPr/>
          <w:p w:rsidR="00000000" w:rsidDel="00000000" w:rsidP="00000000" w:rsidRDefault="00000000" w:rsidRPr="00000000" w14:paraId="0000009F">
            <w:pPr>
              <w:rPr>
                <w:sz w:val="24"/>
                <w:szCs w:val="24"/>
              </w:rPr>
            </w:pPr>
            <w:r w:rsidDel="00000000" w:rsidR="00000000" w:rsidRPr="00000000">
              <w:rPr>
                <w:sz w:val="24"/>
                <w:szCs w:val="24"/>
                <w:rtl w:val="0"/>
              </w:rPr>
              <w:t xml:space="preserve">L41160 Advances received from customers</w:t>
            </w:r>
          </w:p>
        </w:tc>
        <w:tc>
          <w:tcPr/>
          <w:p w:rsidR="00000000" w:rsidDel="00000000" w:rsidP="00000000" w:rsidRDefault="00000000" w:rsidRPr="00000000" w14:paraId="000000A0">
            <w:pPr>
              <w:jc w:val="both"/>
              <w:rPr>
                <w:sz w:val="24"/>
                <w:szCs w:val="24"/>
              </w:rPr>
            </w:pPr>
            <w:r w:rsidDel="00000000" w:rsidR="00000000" w:rsidRPr="00000000">
              <w:rPr>
                <w:sz w:val="24"/>
                <w:szCs w:val="24"/>
                <w:rtl w:val="0"/>
              </w:rPr>
              <w:t xml:space="preserve">Amounts received from customers for products/services that will be delivered/performed in less than one year as of reporting date.  </w:t>
            </w:r>
          </w:p>
        </w:tc>
      </w:tr>
      <w:tr>
        <w:trPr>
          <w:cantSplit w:val="0"/>
          <w:tblHeader w:val="0"/>
        </w:trPr>
        <w:tc>
          <w:tcPr/>
          <w:p w:rsidR="00000000" w:rsidDel="00000000" w:rsidP="00000000" w:rsidRDefault="00000000" w:rsidRPr="00000000" w14:paraId="000000A1">
            <w:pPr>
              <w:rPr>
                <w:sz w:val="24"/>
                <w:szCs w:val="24"/>
              </w:rPr>
            </w:pPr>
            <w:r w:rsidDel="00000000" w:rsidR="00000000" w:rsidRPr="00000000">
              <w:rPr>
                <w:sz w:val="24"/>
                <w:szCs w:val="24"/>
                <w:rtl w:val="0"/>
              </w:rPr>
              <w:t xml:space="preserve">L16900 Other long-term liabilities</w:t>
            </w:r>
          </w:p>
        </w:tc>
        <w:tc>
          <w:tcPr/>
          <w:p w:rsidR="00000000" w:rsidDel="00000000" w:rsidP="00000000" w:rsidRDefault="00000000" w:rsidRPr="00000000" w14:paraId="000000A2">
            <w:pPr>
              <w:jc w:val="both"/>
              <w:rPr>
                <w:sz w:val="24"/>
                <w:szCs w:val="24"/>
              </w:rPr>
            </w:pPr>
            <w:r w:rsidDel="00000000" w:rsidR="00000000" w:rsidRPr="00000000">
              <w:rPr>
                <w:sz w:val="24"/>
                <w:szCs w:val="24"/>
                <w:rtl w:val="0"/>
              </w:rPr>
              <w:t xml:space="preserve">Amounts received from customers for products/services that will be delivered/performed in more than one year as of reporting date. </w:t>
            </w:r>
          </w:p>
        </w:tc>
      </w:tr>
    </w:tbl>
    <w:p w:rsidR="00000000" w:rsidDel="00000000" w:rsidP="00000000" w:rsidRDefault="00000000" w:rsidRPr="00000000" w14:paraId="000000A3">
      <w:pPr>
        <w:rPr>
          <w:sz w:val="24"/>
          <w:szCs w:val="24"/>
        </w:rPr>
      </w:pPr>
      <w:r w:rsidDel="00000000" w:rsidR="00000000" w:rsidRPr="00000000">
        <w:rPr>
          <w:rtl w:val="0"/>
        </w:rPr>
      </w:r>
    </w:p>
    <w:p w:rsidR="00000000" w:rsidDel="00000000" w:rsidP="00000000" w:rsidRDefault="00000000" w:rsidRPr="00000000" w14:paraId="000000A4">
      <w:pPr>
        <w:rPr>
          <w:sz w:val="24"/>
          <w:szCs w:val="24"/>
        </w:rPr>
      </w:pPr>
      <w:r w:rsidDel="00000000" w:rsidR="00000000" w:rsidRPr="00000000">
        <w:rPr>
          <w:rtl w:val="0"/>
        </w:rPr>
      </w:r>
    </w:p>
    <w:p w:rsidR="00000000" w:rsidDel="00000000" w:rsidP="00000000" w:rsidRDefault="00000000" w:rsidRPr="00000000" w14:paraId="000000A5">
      <w:pPr>
        <w:rPr>
          <w:sz w:val="24"/>
          <w:szCs w:val="24"/>
        </w:rPr>
      </w:pPr>
      <w:r w:rsidDel="00000000" w:rsidR="00000000" w:rsidRPr="00000000">
        <w:rPr>
          <w:rtl w:val="0"/>
        </w:rPr>
      </w:r>
    </w:p>
    <w:p w:rsidR="00000000" w:rsidDel="00000000" w:rsidP="00000000" w:rsidRDefault="00000000" w:rsidRPr="00000000" w14:paraId="000000A6">
      <w:pPr>
        <w:rPr>
          <w:sz w:val="24"/>
          <w:szCs w:val="24"/>
        </w:rPr>
      </w:pPr>
      <w:r w:rsidDel="00000000" w:rsidR="00000000" w:rsidRPr="00000000">
        <w:rPr>
          <w:rtl w:val="0"/>
        </w:rPr>
      </w:r>
    </w:p>
    <w:p w:rsidR="00000000" w:rsidDel="00000000" w:rsidP="00000000" w:rsidRDefault="00000000" w:rsidRPr="00000000" w14:paraId="000000A7">
      <w:pPr>
        <w:rPr>
          <w:sz w:val="24"/>
          <w:szCs w:val="24"/>
        </w:rPr>
      </w:pPr>
      <w:r w:rsidDel="00000000" w:rsidR="00000000" w:rsidRPr="00000000">
        <w:rPr>
          <w:rtl w:val="0"/>
        </w:rPr>
      </w:r>
    </w:p>
    <w:p w:rsidR="00000000" w:rsidDel="00000000" w:rsidP="00000000" w:rsidRDefault="00000000" w:rsidRPr="00000000" w14:paraId="000000A8">
      <w:pPr>
        <w:pStyle w:val="Heading1"/>
        <w:numPr>
          <w:ilvl w:val="0"/>
          <w:numId w:val="1"/>
        </w:numPr>
        <w:ind w:left="720" w:hanging="360"/>
        <w:rPr>
          <w:sz w:val="24"/>
          <w:szCs w:val="24"/>
        </w:rPr>
      </w:pPr>
      <w:bookmarkStart w:colFirst="0" w:colLast="0" w:name="_heading=h.5maq1a5ir2og" w:id="8"/>
      <w:bookmarkEnd w:id="8"/>
      <w:r w:rsidDel="00000000" w:rsidR="00000000" w:rsidRPr="00000000">
        <w:rPr>
          <w:rtl w:val="0"/>
        </w:rPr>
        <w:t xml:space="preserve">The “five step” approach</w:t>
      </w:r>
      <w:r w:rsidDel="00000000" w:rsidR="00000000" w:rsidRPr="00000000">
        <w:rPr>
          <w:rtl w:val="0"/>
        </w:rPr>
      </w:r>
    </w:p>
    <w:p w:rsidR="00000000" w:rsidDel="00000000" w:rsidP="00000000" w:rsidRDefault="00000000" w:rsidRPr="00000000" w14:paraId="000000A9">
      <w:pPr>
        <w:pStyle w:val="Heading2"/>
        <w:numPr>
          <w:ilvl w:val="1"/>
          <w:numId w:val="1"/>
        </w:numPr>
        <w:ind w:left="1440" w:hanging="360"/>
        <w:rPr/>
      </w:pPr>
      <w:bookmarkStart w:colFirst="0" w:colLast="0" w:name="_heading=h.rzv1gwy78a49" w:id="9"/>
      <w:bookmarkEnd w:id="9"/>
      <w:r w:rsidDel="00000000" w:rsidR="00000000" w:rsidRPr="00000000">
        <w:rPr>
          <w:rtl w:val="0"/>
        </w:rPr>
        <w:t xml:space="preserve">Step one – Identify the contract</w:t>
      </w:r>
    </w:p>
    <w:p w:rsidR="00000000" w:rsidDel="00000000" w:rsidP="00000000" w:rsidRDefault="00000000" w:rsidRPr="00000000" w14:paraId="000000AA">
      <w:pPr>
        <w:jc w:val="both"/>
        <w:rPr>
          <w:sz w:val="24"/>
          <w:szCs w:val="24"/>
        </w:rPr>
      </w:pPr>
      <w:r w:rsidDel="00000000" w:rsidR="00000000" w:rsidRPr="00000000">
        <w:rPr>
          <w:sz w:val="24"/>
          <w:szCs w:val="24"/>
          <w:rtl w:val="0"/>
        </w:rPr>
        <w:t xml:space="preserve">In general, unless a contract can be </w:t>
      </w:r>
      <w:r w:rsidDel="00000000" w:rsidR="00000000" w:rsidRPr="00000000">
        <w:rPr>
          <w:i w:val="1"/>
          <w:iCs w:val="1"/>
          <w:sz w:val="24"/>
          <w:szCs w:val="24"/>
          <w:u w:val="single"/>
          <w:rtl w:val="0"/>
        </w:rPr>
        <w:t xml:space="preserve">identified</w:t>
      </w:r>
      <w:r w:rsidDel="00000000" w:rsidR="00000000" w:rsidRPr="00000000">
        <w:rPr>
          <w:sz w:val="24"/>
          <w:szCs w:val="24"/>
          <w:rtl w:val="0"/>
        </w:rPr>
        <w:t xml:space="preserve"> in accordance with the below, no revenue shall be recognized. Identification of a contract requires all of the following 5 criteria to be met:</w:t>
      </w:r>
    </w:p>
    <w:p w:rsidR="00000000" w:rsidDel="00000000" w:rsidP="00000000" w:rsidRDefault="00000000" w:rsidRPr="00000000" w14:paraId="000000AB">
      <w:pPr>
        <w:numPr>
          <w:ilvl w:val="0"/>
          <w:numId w:val="3"/>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contract has been approved (in writing, orally or in accordance with other customary business practices) and the parties are committed to perform their respective obligations;</w:t>
      </w:r>
    </w:p>
    <w:p w:rsidR="00000000" w:rsidDel="00000000" w:rsidP="00000000" w:rsidRDefault="00000000" w:rsidRPr="00000000" w14:paraId="000000AC">
      <w:pPr>
        <w:numPr>
          <w:ilvl w:val="0"/>
          <w:numId w:val="3"/>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Each party’s rights regarding the goods or services to be transferred can be identified;</w:t>
      </w:r>
    </w:p>
    <w:p w:rsidR="00000000" w:rsidDel="00000000" w:rsidP="00000000" w:rsidRDefault="00000000" w:rsidRPr="00000000" w14:paraId="000000AD">
      <w:pPr>
        <w:numPr>
          <w:ilvl w:val="0"/>
          <w:numId w:val="3"/>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payment terms for the goods or services to be transferred can be identified.  It does not require that transaction price is fixed or stated in the contract.  As long as there is an enforceable right to payment and the contract contains sufficient information to enable an estimate of the transaction price, the contract would qualify for accounting under IFRS 15;</w:t>
      </w:r>
    </w:p>
    <w:p w:rsidR="00000000" w:rsidDel="00000000" w:rsidP="00000000" w:rsidRDefault="00000000" w:rsidRPr="00000000" w14:paraId="000000AE">
      <w:pPr>
        <w:numPr>
          <w:ilvl w:val="0"/>
          <w:numId w:val="3"/>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contract has commercial substance; </w:t>
      </w:r>
      <w:r w:rsidDel="00000000" w:rsidR="00000000" w:rsidRPr="00000000">
        <w:rPr>
          <w:i w:val="1"/>
          <w:iCs w:val="1"/>
          <w:color w:val="000000"/>
          <w:sz w:val="24"/>
          <w:szCs w:val="24"/>
          <w:u w:val="single"/>
          <w:rtl w:val="0"/>
        </w:rPr>
        <w:t xml:space="preserve">and</w:t>
      </w:r>
      <w:r w:rsidDel="00000000" w:rsidR="00000000" w:rsidRPr="00000000">
        <w:rPr>
          <w:rtl w:val="0"/>
        </w:rPr>
      </w:r>
    </w:p>
    <w:p w:rsidR="00000000" w:rsidDel="00000000" w:rsidP="00000000" w:rsidRDefault="00000000" w:rsidRPr="00000000" w14:paraId="000000AF">
      <w:pPr>
        <w:numPr>
          <w:ilvl w:val="0"/>
          <w:numId w:val="3"/>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At contract inception, it is probable that the entity will collect the consideration it </w:t>
      </w:r>
      <w:r w:rsidDel="00000000" w:rsidR="00000000" w:rsidRPr="00000000">
        <w:rPr>
          <w:i w:val="1"/>
          <w:iCs w:val="1"/>
          <w:color w:val="000000"/>
          <w:sz w:val="24"/>
          <w:szCs w:val="24"/>
          <w:u w:val="single"/>
          <w:rtl w:val="0"/>
        </w:rPr>
        <w:t xml:space="preserve">expects</w:t>
      </w:r>
      <w:r w:rsidDel="00000000" w:rsidR="00000000" w:rsidRPr="00000000">
        <w:rPr>
          <w:color w:val="000000"/>
          <w:sz w:val="24"/>
          <w:szCs w:val="24"/>
          <w:rtl w:val="0"/>
        </w:rPr>
        <w:t xml:space="preserve"> to be entitled to receive in exchange for the goods and services that will be transferred to the customer. This collectability threshold goes beyond the contractual terms of an arrangement with a customer.  A key part of assessing whether a contract is valid is determining the extent to which the customer has </w:t>
      </w:r>
      <w:r w:rsidDel="00000000" w:rsidR="00000000" w:rsidRPr="00000000">
        <w:rPr>
          <w:i w:val="1"/>
          <w:iCs w:val="1"/>
          <w:color w:val="000000"/>
          <w:sz w:val="24"/>
          <w:szCs w:val="24"/>
          <w:u w:val="single"/>
          <w:rtl w:val="0"/>
        </w:rPr>
        <w:t xml:space="preserve">both the ability and the intention to pay</w:t>
      </w:r>
      <w:r w:rsidDel="00000000" w:rsidR="00000000" w:rsidRPr="00000000">
        <w:rPr>
          <w:color w:val="000000"/>
          <w:sz w:val="24"/>
          <w:szCs w:val="24"/>
          <w:rtl w:val="0"/>
        </w:rPr>
        <w:t xml:space="preserve"> the promised consideration.  The amount of consideration to which the entity will be entitled may be less than the price stated in the contract because the entity may offer the customer a price concession.  In this case, the assessment of the customer’s ability and intention to pay is made against the lower amount.  </w:t>
      </w:r>
    </w:p>
    <w:p w:rsidR="00000000" w:rsidDel="00000000" w:rsidP="00000000" w:rsidRDefault="00000000" w:rsidRPr="00000000" w14:paraId="000000B0">
      <w:pPr>
        <w:jc w:val="both"/>
        <w:rPr>
          <w:sz w:val="24"/>
          <w:szCs w:val="24"/>
        </w:rPr>
      </w:pPr>
      <w:r w:rsidDel="00000000" w:rsidR="00000000" w:rsidRPr="00000000">
        <w:rPr>
          <w:sz w:val="24"/>
          <w:szCs w:val="24"/>
          <w:rtl w:val="0"/>
        </w:rPr>
        <w:t xml:space="preserve">When </w:t>
      </w:r>
      <w:r w:rsidDel="00000000" w:rsidR="00000000" w:rsidRPr="00000000">
        <w:rPr>
          <w:i w:val="1"/>
          <w:iCs w:val="1"/>
          <w:sz w:val="24"/>
          <w:szCs w:val="24"/>
          <w:u w:val="single"/>
          <w:rtl w:val="0"/>
        </w:rPr>
        <w:t xml:space="preserve">all</w:t>
      </w:r>
      <w:r w:rsidDel="00000000" w:rsidR="00000000" w:rsidRPr="00000000">
        <w:rPr>
          <w:sz w:val="24"/>
          <w:szCs w:val="24"/>
          <w:rtl w:val="0"/>
        </w:rPr>
        <w:t xml:space="preserve"> these criteria are not met, and an entity receives consideration from the customer, the entity shall recognize the consideration received as revenue </w:t>
      </w:r>
      <w:r w:rsidDel="00000000" w:rsidR="00000000" w:rsidRPr="00000000">
        <w:rPr>
          <w:i w:val="1"/>
          <w:iCs w:val="1"/>
          <w:sz w:val="24"/>
          <w:szCs w:val="24"/>
          <w:u w:val="single"/>
          <w:rtl w:val="0"/>
        </w:rPr>
        <w:t xml:space="preserve">only</w:t>
      </w:r>
      <w:r w:rsidDel="00000000" w:rsidR="00000000" w:rsidRPr="00000000">
        <w:rPr>
          <w:sz w:val="24"/>
          <w:szCs w:val="24"/>
          <w:rtl w:val="0"/>
        </w:rPr>
        <w:t xml:space="preserve"> when one of the following applies:</w:t>
      </w:r>
    </w:p>
    <w:p w:rsidR="00000000" w:rsidDel="00000000" w:rsidP="00000000" w:rsidRDefault="00000000" w:rsidRPr="00000000" w14:paraId="000000B1">
      <w:pPr>
        <w:numPr>
          <w:ilvl w:val="0"/>
          <w:numId w:val="6"/>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entity has no remaining contractual obligations to transfer goods or services and all, or substantially all, of the consideration has been received and is non-refundable; </w:t>
      </w:r>
      <w:r w:rsidDel="00000000" w:rsidR="00000000" w:rsidRPr="00000000">
        <w:rPr>
          <w:i w:val="1"/>
          <w:iCs w:val="1"/>
          <w:color w:val="000000"/>
          <w:sz w:val="24"/>
          <w:szCs w:val="24"/>
          <w:u w:val="single"/>
          <w:rtl w:val="0"/>
        </w:rPr>
        <w:t xml:space="preserve">or</w:t>
      </w:r>
      <w:r w:rsidDel="00000000" w:rsidR="00000000" w:rsidRPr="00000000">
        <w:rPr>
          <w:rtl w:val="0"/>
        </w:rPr>
      </w:r>
    </w:p>
    <w:p w:rsidR="00000000" w:rsidDel="00000000" w:rsidP="00000000" w:rsidRDefault="00000000" w:rsidRPr="00000000" w14:paraId="000000B2">
      <w:pPr>
        <w:numPr>
          <w:ilvl w:val="0"/>
          <w:numId w:val="6"/>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The contract has been terminated and the consideration received from the customer is non-refundable.</w:t>
      </w:r>
    </w:p>
    <w:p w:rsidR="00000000" w:rsidDel="00000000" w:rsidP="00000000" w:rsidRDefault="00000000" w:rsidRPr="00000000" w14:paraId="000000B3">
      <w:pPr>
        <w:jc w:val="both"/>
        <w:rPr>
          <w:sz w:val="24"/>
          <w:szCs w:val="24"/>
        </w:rPr>
      </w:pPr>
      <w:r w:rsidDel="00000000" w:rsidR="00000000" w:rsidRPr="00000000">
        <w:rPr>
          <w:sz w:val="24"/>
          <w:szCs w:val="24"/>
          <w:rtl w:val="0"/>
        </w:rPr>
        <w:t xml:space="preserve">Otherwise, in such case, the entity shall recognize a liability until one of these events occurs or until the criteria to apply IFRS 15 have been met. The liability represents the entity’s obligation to either transfer goods or services in the future or refund the consideration received.</w:t>
      </w:r>
    </w:p>
    <w:p w:rsidR="00000000" w:rsidDel="00000000" w:rsidP="00000000" w:rsidRDefault="00000000" w:rsidRPr="00000000" w14:paraId="000000B4">
      <w:pPr>
        <w:pStyle w:val="Heading2"/>
        <w:numPr>
          <w:ilvl w:val="1"/>
          <w:numId w:val="1"/>
        </w:numPr>
        <w:ind w:left="1440" w:hanging="360"/>
        <w:rPr/>
      </w:pPr>
      <w:bookmarkStart w:colFirst="0" w:colLast="0" w:name="_heading=h.p1zj1wd8v1mb" w:id="10"/>
      <w:bookmarkEnd w:id="10"/>
      <w:r w:rsidDel="00000000" w:rsidR="00000000" w:rsidRPr="00000000">
        <w:rPr>
          <w:rtl w:val="0"/>
        </w:rPr>
        <w:t xml:space="preserve">Step two – Identify separate performance obligations in the contract</w:t>
      </w:r>
    </w:p>
    <w:p w:rsidR="00000000" w:rsidDel="00000000" w:rsidP="00000000" w:rsidRDefault="00000000" w:rsidRPr="00000000" w14:paraId="000000B5">
      <w:pPr>
        <w:jc w:val="both"/>
        <w:rPr>
          <w:sz w:val="24"/>
          <w:szCs w:val="24"/>
        </w:rPr>
      </w:pPr>
      <w:r w:rsidDel="00000000" w:rsidR="00000000" w:rsidRPr="00000000">
        <w:rPr>
          <w:sz w:val="24"/>
          <w:szCs w:val="24"/>
          <w:rtl w:val="0"/>
        </w:rPr>
        <w:t xml:space="preserve">An entity must (a) identify the promised goods and services, </w:t>
      </w:r>
      <w:r w:rsidDel="00000000" w:rsidR="00000000" w:rsidRPr="00000000">
        <w:rPr>
          <w:i w:val="1"/>
          <w:iCs w:val="1"/>
          <w:sz w:val="24"/>
          <w:szCs w:val="24"/>
          <w:u w:val="single"/>
          <w:rtl w:val="0"/>
        </w:rPr>
        <w:t xml:space="preserve">and</w:t>
      </w:r>
      <w:r w:rsidDel="00000000" w:rsidR="00000000" w:rsidRPr="00000000">
        <w:rPr>
          <w:sz w:val="24"/>
          <w:szCs w:val="24"/>
          <w:rtl w:val="0"/>
        </w:rPr>
        <w:t xml:space="preserve"> (b) determine which of those goods and services are separate, or distinct, performance obligations. </w:t>
      </w:r>
      <w:r w:rsidDel="00000000" w:rsidR="00000000" w:rsidRPr="00000000">
        <w:rPr>
          <w:i w:val="1"/>
          <w:iCs w:val="1"/>
          <w:sz w:val="24"/>
          <w:szCs w:val="24"/>
          <w:u w:val="single"/>
          <w:rtl w:val="0"/>
        </w:rPr>
        <w:t xml:space="preserve">This step is crucial because revenue is recognized separately for each distinct performance obligation. </w:t>
      </w:r>
      <w:r w:rsidDel="00000000" w:rsidR="00000000" w:rsidRPr="00000000">
        <w:rPr>
          <w:sz w:val="24"/>
          <w:szCs w:val="24"/>
          <w:rtl w:val="0"/>
        </w:rPr>
        <w:t xml:space="preserve"> </w:t>
      </w:r>
    </w:p>
    <w:p w:rsidR="00000000" w:rsidDel="00000000" w:rsidP="00000000" w:rsidRDefault="00000000" w:rsidRPr="00000000" w14:paraId="000000B6">
      <w:pPr>
        <w:jc w:val="both"/>
        <w:rPr>
          <w:sz w:val="24"/>
          <w:szCs w:val="24"/>
        </w:rPr>
      </w:pPr>
      <w:r w:rsidDel="00000000" w:rsidR="00000000" w:rsidRPr="00000000">
        <w:rPr>
          <w:sz w:val="24"/>
          <w:szCs w:val="24"/>
          <w:rtl w:val="0"/>
        </w:rPr>
        <w:t xml:space="preserve">A good or service that is promised to a customer is </w:t>
      </w:r>
      <w:r w:rsidDel="00000000" w:rsidR="00000000" w:rsidRPr="00000000">
        <w:rPr>
          <w:i w:val="1"/>
          <w:iCs w:val="1"/>
          <w:sz w:val="24"/>
          <w:szCs w:val="24"/>
          <w:u w:val="single"/>
          <w:rtl w:val="0"/>
        </w:rPr>
        <w:t xml:space="preserve">distinct</w:t>
      </w:r>
      <w:r w:rsidDel="00000000" w:rsidR="00000000" w:rsidRPr="00000000">
        <w:rPr>
          <w:sz w:val="24"/>
          <w:szCs w:val="24"/>
          <w:rtl w:val="0"/>
        </w:rPr>
        <w:t xml:space="preserve"> if both of the following criteria are met:</w:t>
      </w:r>
    </w:p>
    <w:p w:rsidR="00000000" w:rsidDel="00000000" w:rsidP="00000000" w:rsidRDefault="00000000" w:rsidRPr="00000000" w14:paraId="000000B7">
      <w:pPr>
        <w:numPr>
          <w:ilvl w:val="0"/>
          <w:numId w:val="9"/>
        </w:numPr>
        <w:pBdr>
          <w:top w:space="0" w:sz="0" w:val="nil"/>
          <w:left w:space="0" w:sz="0" w:val="nil"/>
          <w:bottom w:space="0" w:sz="0" w:val="nil"/>
          <w:right w:space="0" w:sz="0" w:val="nil"/>
          <w:between w:space="0" w:sz="0" w:val="nil"/>
        </w:pBdr>
        <w:ind w:left="720" w:hanging="360"/>
        <w:jc w:val="both"/>
        <w:rPr>
          <w:i w:val="1"/>
          <w:iCs w:val="1"/>
          <w:color w:val="000000"/>
          <w:sz w:val="24"/>
          <w:szCs w:val="24"/>
        </w:rPr>
      </w:pPr>
      <w:r w:rsidDel="00000000" w:rsidR="00000000" w:rsidRPr="00000000">
        <w:rPr>
          <w:i w:val="1"/>
          <w:iCs w:val="1"/>
          <w:color w:val="000000"/>
          <w:sz w:val="24"/>
          <w:szCs w:val="24"/>
          <w:u w:val="single"/>
          <w:rtl w:val="0"/>
        </w:rPr>
        <w:t xml:space="preserve">the good or service is capable of being distinct from an economic point of view</w:t>
      </w:r>
      <w:r w:rsidDel="00000000" w:rsidR="00000000" w:rsidRPr="00000000">
        <w:rPr>
          <w:i w:val="1"/>
          <w:iCs w:val="1"/>
          <w:color w:val="000000"/>
          <w:sz w:val="24"/>
          <w:szCs w:val="24"/>
          <w:rtl w:val="0"/>
        </w:rPr>
        <w:t xml:space="preserve">: the customer can benefit from the good or service either on its own or together with other resources that are readily available to the customer </w:t>
      </w:r>
    </w:p>
    <w:p w:rsidR="00000000" w:rsidDel="00000000" w:rsidP="00000000" w:rsidRDefault="00000000" w:rsidRPr="00000000" w14:paraId="000000B8">
      <w:pPr>
        <w:ind w:left="360" w:firstLine="0"/>
        <w:jc w:val="both"/>
        <w:rPr>
          <w:sz w:val="24"/>
          <w:szCs w:val="24"/>
        </w:rPr>
      </w:pPr>
      <w:r w:rsidDel="00000000" w:rsidR="00000000" w:rsidRPr="00000000">
        <w:rPr>
          <w:sz w:val="24"/>
          <w:szCs w:val="24"/>
          <w:rtl w:val="0"/>
        </w:rPr>
        <w:t xml:space="preserve">A customer can benefit from a good or service if the good or service can be used, consumed, or sold (other than for scrap value), or it can be held in a way that generates economic benefits.  A customer may benefit from goods or services on their own, or in conjunction with other readily available resources.  </w:t>
      </w:r>
    </w:p>
    <w:p w:rsidR="00000000" w:rsidDel="00000000" w:rsidP="00000000" w:rsidRDefault="00000000" w:rsidRPr="00000000" w14:paraId="000000B9">
      <w:pPr>
        <w:ind w:left="360" w:firstLine="0"/>
        <w:jc w:val="both"/>
        <w:rPr>
          <w:sz w:val="24"/>
          <w:szCs w:val="24"/>
        </w:rPr>
      </w:pPr>
      <w:r w:rsidDel="00000000" w:rsidR="00000000" w:rsidRPr="00000000">
        <w:rPr>
          <w:sz w:val="24"/>
          <w:szCs w:val="24"/>
          <w:rtl w:val="0"/>
        </w:rPr>
        <w:t xml:space="preserve">A readily available resource is either a good or service that is sold separately, or a resource that the customer has already obtained. </w:t>
      </w:r>
    </w:p>
    <w:p w:rsidR="00000000" w:rsidDel="00000000" w:rsidP="00000000" w:rsidRDefault="00000000" w:rsidRPr="00000000" w14:paraId="000000BA">
      <w:pPr>
        <w:ind w:left="360" w:firstLine="0"/>
        <w:jc w:val="both"/>
        <w:rPr>
          <w:sz w:val="24"/>
          <w:szCs w:val="24"/>
        </w:rPr>
      </w:pPr>
      <w:r w:rsidDel="00000000" w:rsidR="00000000" w:rsidRPr="00000000">
        <w:rPr>
          <w:sz w:val="24"/>
          <w:szCs w:val="24"/>
          <w:rtl w:val="0"/>
        </w:rPr>
        <w:t xml:space="preserve">If the vendor regularly sells a good or service separately, this indicates that a customer can benefit from that goods or service (either on its own, or in conjunction with readily available resources).</w:t>
      </w:r>
    </w:p>
    <w:p w:rsidR="00000000" w:rsidDel="00000000" w:rsidP="00000000" w:rsidRDefault="00000000" w:rsidRPr="00000000" w14:paraId="000000BB">
      <w:pPr>
        <w:ind w:left="360" w:firstLine="0"/>
        <w:jc w:val="both"/>
        <w:rPr>
          <w:sz w:val="24"/>
          <w:szCs w:val="24"/>
        </w:rPr>
      </w:pPr>
      <w:r w:rsidDel="00000000" w:rsidR="00000000" w:rsidRPr="00000000">
        <w:rPr>
          <w:sz w:val="24"/>
          <w:szCs w:val="24"/>
          <w:rtl w:val="0"/>
        </w:rPr>
        <w:t xml:space="preserve">For example, if we sell a customer list to a buyer, and simultaneously enter into a sales agreement with him for the sale of goods, we need to assess if the buyer can benefit from the customer list independent of the sales agreement. Such condition would usually be met if he can produce the goods himself, or if he can buy them from parties other than the vendor. In this case, the customer list is distinct, and the gain on sale from the customer list would be recognized when the customer list has been transferred to the buyer. If the customer list is not distinct, then the gain on sale would generally be recognized over the term of the sales agreement. </w:t>
      </w:r>
    </w:p>
    <w:p w:rsidR="00000000" w:rsidDel="00000000" w:rsidP="00000000" w:rsidRDefault="00000000" w:rsidRPr="00000000" w14:paraId="000000BC">
      <w:pPr>
        <w:numPr>
          <w:ilvl w:val="0"/>
          <w:numId w:val="9"/>
        </w:numPr>
        <w:pBdr>
          <w:top w:space="0" w:sz="0" w:val="nil"/>
          <w:left w:space="0" w:sz="0" w:val="nil"/>
          <w:bottom w:space="0" w:sz="0" w:val="nil"/>
          <w:right w:space="0" w:sz="0" w:val="nil"/>
          <w:between w:space="0" w:sz="0" w:val="nil"/>
        </w:pBdr>
        <w:ind w:left="720" w:hanging="360"/>
        <w:jc w:val="both"/>
        <w:rPr>
          <w:i w:val="1"/>
          <w:iCs w:val="1"/>
          <w:color w:val="000000"/>
          <w:sz w:val="24"/>
          <w:szCs w:val="24"/>
        </w:rPr>
      </w:pPr>
      <w:r w:rsidDel="00000000" w:rsidR="00000000" w:rsidRPr="00000000">
        <w:rPr>
          <w:i w:val="1"/>
          <w:iCs w:val="1"/>
          <w:color w:val="000000"/>
          <w:sz w:val="24"/>
          <w:szCs w:val="24"/>
          <w:u w:val="single"/>
          <w:rtl w:val="0"/>
        </w:rPr>
        <w:t xml:space="preserve">the good or service is capable of being distinct from a contractual point of view:</w:t>
      </w:r>
      <w:r w:rsidDel="00000000" w:rsidR="00000000" w:rsidRPr="00000000">
        <w:rPr>
          <w:i w:val="1"/>
          <w:iCs w:val="1"/>
          <w:color w:val="000000"/>
          <w:sz w:val="24"/>
          <w:szCs w:val="24"/>
          <w:rtl w:val="0"/>
        </w:rPr>
        <w:t xml:space="preserve"> the entity’s promise to transfer the good or service to the customer is separately identifiable from other promises in the contract </w:t>
      </w:r>
    </w:p>
    <w:p w:rsidR="00000000" w:rsidDel="00000000" w:rsidP="00000000" w:rsidRDefault="00000000" w:rsidRPr="00000000" w14:paraId="000000BD">
      <w:pPr>
        <w:ind w:left="360" w:firstLine="0"/>
        <w:jc w:val="both"/>
        <w:rPr>
          <w:sz w:val="24"/>
          <w:szCs w:val="24"/>
        </w:rPr>
      </w:pPr>
      <w:r w:rsidDel="00000000" w:rsidR="00000000" w:rsidRPr="00000000">
        <w:rPr>
          <w:sz w:val="24"/>
          <w:szCs w:val="24"/>
          <w:rtl w:val="0"/>
        </w:rPr>
        <w:t xml:space="preserve">Factors that indicate that a vendor’s promise to transfer an element to the customer is separately identifiable include:</w:t>
      </w:r>
    </w:p>
    <w:p w:rsidR="00000000" w:rsidDel="00000000" w:rsidP="00000000" w:rsidRDefault="00000000" w:rsidRPr="00000000" w14:paraId="000000BE">
      <w:pPr>
        <w:numPr>
          <w:ilvl w:val="0"/>
          <w:numId w:val="7"/>
        </w:numPr>
        <w:pBdr>
          <w:top w:space="0" w:sz="0" w:val="nil"/>
          <w:left w:space="0" w:sz="0" w:val="nil"/>
          <w:bottom w:space="0" w:sz="0" w:val="nil"/>
          <w:right w:space="0" w:sz="0" w:val="nil"/>
          <w:between w:space="0" w:sz="0" w:val="nil"/>
        </w:pBdr>
        <w:spacing w:after="0" w:lineRule="auto"/>
        <w:ind w:left="709" w:hanging="360"/>
        <w:jc w:val="both"/>
        <w:rPr>
          <w:color w:val="000000"/>
          <w:sz w:val="24"/>
          <w:szCs w:val="24"/>
        </w:rPr>
      </w:pPr>
      <w:r w:rsidDel="00000000" w:rsidR="00000000" w:rsidRPr="00000000">
        <w:rPr>
          <w:color w:val="000000"/>
          <w:sz w:val="24"/>
          <w:szCs w:val="24"/>
          <w:rtl w:val="0"/>
        </w:rPr>
        <w:t xml:space="preserve">the entity does not provide significant service of integrating the good or service with other goods or services promised in the contract as a bundle which represents a combined output for which the customer has contracted.  Otherwise said, the entity is not using the good or service as an input to produce the combined output specified by the customer;</w:t>
      </w:r>
    </w:p>
    <w:p w:rsidR="00000000" w:rsidDel="00000000" w:rsidP="00000000" w:rsidRDefault="00000000" w:rsidRPr="00000000" w14:paraId="000000BF">
      <w:pPr>
        <w:numPr>
          <w:ilvl w:val="0"/>
          <w:numId w:val="7"/>
        </w:numPr>
        <w:pBdr>
          <w:top w:space="0" w:sz="0" w:val="nil"/>
          <w:left w:space="0" w:sz="0" w:val="nil"/>
          <w:bottom w:space="0" w:sz="0" w:val="nil"/>
          <w:right w:space="0" w:sz="0" w:val="nil"/>
          <w:between w:space="0" w:sz="0" w:val="nil"/>
        </w:pBdr>
        <w:spacing w:after="0" w:lineRule="auto"/>
        <w:ind w:left="709" w:hanging="360"/>
        <w:jc w:val="both"/>
        <w:rPr>
          <w:color w:val="000000"/>
          <w:sz w:val="24"/>
          <w:szCs w:val="24"/>
        </w:rPr>
      </w:pPr>
      <w:r w:rsidDel="00000000" w:rsidR="00000000" w:rsidRPr="00000000">
        <w:rPr>
          <w:color w:val="000000"/>
          <w:sz w:val="24"/>
          <w:szCs w:val="24"/>
          <w:rtl w:val="0"/>
        </w:rPr>
        <w:t xml:space="preserve">The good or service does not significantly modify or customize another good or service promised in the contract; </w:t>
      </w:r>
    </w:p>
    <w:p w:rsidR="00000000" w:rsidDel="00000000" w:rsidP="00000000" w:rsidRDefault="00000000" w:rsidRPr="00000000" w14:paraId="000000C0">
      <w:pPr>
        <w:numPr>
          <w:ilvl w:val="0"/>
          <w:numId w:val="7"/>
        </w:numPr>
        <w:pBdr>
          <w:top w:space="0" w:sz="0" w:val="nil"/>
          <w:left w:space="0" w:sz="0" w:val="nil"/>
          <w:bottom w:space="0" w:sz="0" w:val="nil"/>
          <w:right w:space="0" w:sz="0" w:val="nil"/>
          <w:between w:space="0" w:sz="0" w:val="nil"/>
        </w:pBdr>
        <w:ind w:left="709" w:hanging="360"/>
        <w:jc w:val="both"/>
        <w:rPr>
          <w:color w:val="000000"/>
          <w:sz w:val="24"/>
          <w:szCs w:val="24"/>
        </w:rPr>
      </w:pPr>
      <w:r w:rsidDel="00000000" w:rsidR="00000000" w:rsidRPr="00000000">
        <w:rPr>
          <w:color w:val="000000"/>
          <w:sz w:val="24"/>
          <w:szCs w:val="24"/>
          <w:rtl w:val="0"/>
        </w:rPr>
        <w:t xml:space="preserve">The good or service is not highly dependent on (or highly interrelated with) other promised goods or services promised in the contract.  </w:t>
      </w:r>
    </w:p>
    <w:p w:rsidR="00000000" w:rsidDel="00000000" w:rsidP="00000000" w:rsidRDefault="00000000" w:rsidRPr="00000000" w14:paraId="000000C1">
      <w:pPr>
        <w:pStyle w:val="Subtitle"/>
        <w:rPr>
          <w:color w:val="ff6540"/>
        </w:rPr>
      </w:pPr>
      <w:r w:rsidDel="00000000" w:rsidR="00000000" w:rsidRPr="00000000">
        <w:rPr>
          <w:rtl w:val="0"/>
        </w:rPr>
        <w:t xml:space="preserve">Examples</w:t>
      </w:r>
      <w:r w:rsidDel="00000000" w:rsidR="00000000" w:rsidRPr="00000000">
        <w:rPr>
          <w:rtl w:val="0"/>
        </w:rPr>
      </w:r>
    </w:p>
    <w:p w:rsidR="00000000" w:rsidDel="00000000" w:rsidP="00000000" w:rsidRDefault="00000000" w:rsidRPr="00000000" w14:paraId="000000C2">
      <w:pPr>
        <w:jc w:val="both"/>
        <w:rPr>
          <w:sz w:val="24"/>
          <w:szCs w:val="24"/>
          <w:u w:val="single"/>
        </w:rPr>
      </w:pPr>
      <w:r w:rsidDel="00000000" w:rsidR="00000000" w:rsidRPr="00000000">
        <w:rPr>
          <w:sz w:val="24"/>
          <w:szCs w:val="24"/>
          <w:u w:val="single"/>
          <w:rtl w:val="0"/>
        </w:rPr>
        <w:t xml:space="preserve">Background A:</w:t>
      </w:r>
    </w:p>
    <w:p w:rsidR="00000000" w:rsidDel="00000000" w:rsidP="00000000" w:rsidRDefault="00000000" w:rsidRPr="00000000" w14:paraId="000000C3">
      <w:pPr>
        <w:jc w:val="both"/>
        <w:rPr>
          <w:sz w:val="24"/>
          <w:szCs w:val="24"/>
        </w:rPr>
      </w:pPr>
      <w:r w:rsidDel="00000000" w:rsidR="00000000" w:rsidRPr="00000000">
        <w:rPr>
          <w:sz w:val="24"/>
          <w:szCs w:val="24"/>
          <w:rtl w:val="0"/>
        </w:rPr>
        <w:t xml:space="preserve">Syensqo will build an asset for a customer, in exchange for a consideration of 1 M€. Syensqo signs a supply contract for a specific product with the same customer.  The asset will be built on the customer’s site and will be used and controlled by the customer.  The customer buys products from Syensqo to operate the asset.    The customer could not use the asset without Syensqo’s products.  The asset does not have a stand-alone value for the customer without Syensqo supplying products.  </w:t>
      </w:r>
    </w:p>
    <w:p w:rsidR="00000000" w:rsidDel="00000000" w:rsidP="00000000" w:rsidRDefault="00000000" w:rsidRPr="00000000" w14:paraId="000000C4">
      <w:pPr>
        <w:jc w:val="both"/>
        <w:rPr>
          <w:sz w:val="24"/>
          <w:szCs w:val="24"/>
          <w:u w:val="single"/>
        </w:rPr>
      </w:pPr>
      <w:r w:rsidDel="00000000" w:rsidR="00000000" w:rsidRPr="00000000">
        <w:rPr>
          <w:sz w:val="24"/>
          <w:szCs w:val="24"/>
          <w:u w:val="single"/>
          <w:rtl w:val="0"/>
        </w:rPr>
        <w:t xml:space="preserve">Conclusion:</w:t>
      </w:r>
    </w:p>
    <w:p w:rsidR="00000000" w:rsidDel="00000000" w:rsidP="00000000" w:rsidRDefault="00000000" w:rsidRPr="00000000" w14:paraId="000000C5">
      <w:pPr>
        <w:jc w:val="both"/>
        <w:rPr>
          <w:sz w:val="24"/>
          <w:szCs w:val="24"/>
        </w:rPr>
      </w:pPr>
      <w:r w:rsidDel="00000000" w:rsidR="00000000" w:rsidRPr="00000000">
        <w:rPr>
          <w:sz w:val="24"/>
          <w:szCs w:val="24"/>
          <w:rtl w:val="0"/>
        </w:rPr>
        <w:t xml:space="preserve">Payments for the asset are not distinct from other payments for the purchase of products. As such, the 1 M€ consideration will be recognized as revenue over the non-cancelable term of the sales of goods agreement. </w:t>
      </w:r>
    </w:p>
    <w:p w:rsidR="00000000" w:rsidDel="00000000" w:rsidP="00000000" w:rsidRDefault="00000000" w:rsidRPr="00000000" w14:paraId="000000C6">
      <w:pPr>
        <w:jc w:val="both"/>
        <w:rPr>
          <w:sz w:val="24"/>
          <w:szCs w:val="24"/>
          <w:u w:val="single"/>
        </w:rPr>
      </w:pPr>
      <w:r w:rsidDel="00000000" w:rsidR="00000000" w:rsidRPr="00000000">
        <w:rPr>
          <w:sz w:val="24"/>
          <w:szCs w:val="24"/>
          <w:u w:val="single"/>
          <w:rtl w:val="0"/>
        </w:rPr>
        <w:t xml:space="preserve">Background B:</w:t>
      </w:r>
    </w:p>
    <w:p w:rsidR="00000000" w:rsidDel="00000000" w:rsidP="00000000" w:rsidRDefault="00000000" w:rsidRPr="00000000" w14:paraId="000000C7">
      <w:pPr>
        <w:jc w:val="both"/>
        <w:rPr>
          <w:sz w:val="24"/>
          <w:szCs w:val="24"/>
        </w:rPr>
      </w:pPr>
      <w:r w:rsidDel="00000000" w:rsidR="00000000" w:rsidRPr="00000000">
        <w:rPr>
          <w:sz w:val="24"/>
          <w:szCs w:val="24"/>
          <w:rtl w:val="0"/>
        </w:rPr>
        <w:t xml:space="preserve">Same as above, except that the customer buys products from Syensqo to operate the asset but could operate the asset with products bought from a different supplier than Syensqo.  Consequently, the asset has a stand-alone value for the customer, since the customer could use the asset without Syensqo’s products.</w:t>
      </w:r>
    </w:p>
    <w:p w:rsidR="00000000" w:rsidDel="00000000" w:rsidP="00000000" w:rsidRDefault="00000000" w:rsidRPr="00000000" w14:paraId="000000C8">
      <w:pPr>
        <w:jc w:val="both"/>
        <w:rPr>
          <w:sz w:val="24"/>
          <w:szCs w:val="24"/>
          <w:u w:val="single"/>
        </w:rPr>
      </w:pPr>
      <w:r w:rsidDel="00000000" w:rsidR="00000000" w:rsidRPr="00000000">
        <w:rPr>
          <w:sz w:val="24"/>
          <w:szCs w:val="24"/>
          <w:u w:val="single"/>
          <w:rtl w:val="0"/>
        </w:rPr>
        <w:t xml:space="preserve">Conclusion:</w:t>
      </w:r>
    </w:p>
    <w:p w:rsidR="00000000" w:rsidDel="00000000" w:rsidP="00000000" w:rsidRDefault="00000000" w:rsidRPr="00000000" w14:paraId="000000C9">
      <w:pPr>
        <w:jc w:val="both"/>
        <w:rPr>
          <w:sz w:val="24"/>
          <w:szCs w:val="24"/>
        </w:rPr>
      </w:pPr>
      <w:r w:rsidDel="00000000" w:rsidR="00000000" w:rsidRPr="00000000">
        <w:rPr>
          <w:sz w:val="24"/>
          <w:szCs w:val="24"/>
          <w:rtl w:val="0"/>
        </w:rPr>
        <w:t xml:space="preserve">Payments for the asset are distinct from other payments for the purchase of products. As such, the 1 M€ consideration will be recognized as revenue when the asset is built (to analyze if at the end of the construction or over the term of the construction – see below). </w:t>
      </w:r>
    </w:p>
    <w:p w:rsidR="00000000" w:rsidDel="00000000" w:rsidP="00000000" w:rsidRDefault="00000000" w:rsidRPr="00000000" w14:paraId="000000CA">
      <w:pPr>
        <w:jc w:val="both"/>
        <w:rPr>
          <w:sz w:val="24"/>
          <w:szCs w:val="24"/>
          <w:u w:val="single"/>
        </w:rPr>
      </w:pPr>
      <w:r w:rsidDel="00000000" w:rsidR="00000000" w:rsidRPr="00000000">
        <w:rPr>
          <w:sz w:val="24"/>
          <w:szCs w:val="24"/>
          <w:u w:val="single"/>
          <w:rtl w:val="0"/>
        </w:rPr>
        <w:t xml:space="preserve">Background C:</w:t>
      </w:r>
    </w:p>
    <w:p w:rsidR="00000000" w:rsidDel="00000000" w:rsidP="00000000" w:rsidRDefault="00000000" w:rsidRPr="00000000" w14:paraId="000000CB">
      <w:pPr>
        <w:jc w:val="both"/>
        <w:rPr>
          <w:sz w:val="24"/>
          <w:szCs w:val="24"/>
        </w:rPr>
      </w:pPr>
      <w:r w:rsidDel="00000000" w:rsidR="00000000" w:rsidRPr="00000000">
        <w:rPr>
          <w:sz w:val="24"/>
          <w:szCs w:val="24"/>
          <w:rtl w:val="0"/>
        </w:rPr>
        <w:t xml:space="preserve">A Syensqo’s asset current capacity is 100KT.  Syensqo will increase the capacity of this asset by 20 KT, so to be able to deliver additional products to customer A.  Customer A will reimburse Syensqo for its investment in the increased capacity, but will not obtain control over (the increased capacity of) the asset.  </w:t>
      </w:r>
    </w:p>
    <w:p w:rsidR="00000000" w:rsidDel="00000000" w:rsidP="00000000" w:rsidRDefault="00000000" w:rsidRPr="00000000" w14:paraId="000000CC">
      <w:pPr>
        <w:jc w:val="both"/>
        <w:rPr>
          <w:sz w:val="24"/>
          <w:szCs w:val="24"/>
          <w:u w:val="single"/>
        </w:rPr>
      </w:pPr>
      <w:r w:rsidDel="00000000" w:rsidR="00000000" w:rsidRPr="00000000">
        <w:rPr>
          <w:sz w:val="24"/>
          <w:szCs w:val="24"/>
          <w:u w:val="single"/>
          <w:rtl w:val="0"/>
        </w:rPr>
        <w:t xml:space="preserve">Conclusion:</w:t>
      </w:r>
    </w:p>
    <w:p w:rsidR="00000000" w:rsidDel="00000000" w:rsidP="00000000" w:rsidRDefault="00000000" w:rsidRPr="00000000" w14:paraId="000000CD">
      <w:pPr>
        <w:jc w:val="both"/>
        <w:rPr>
          <w:sz w:val="24"/>
          <w:szCs w:val="24"/>
        </w:rPr>
      </w:pPr>
      <w:r w:rsidDel="00000000" w:rsidR="00000000" w:rsidRPr="00000000">
        <w:rPr>
          <w:sz w:val="24"/>
          <w:szCs w:val="24"/>
          <w:rtl w:val="0"/>
        </w:rPr>
        <w:t xml:space="preserve">Payments for increased capacity are not distinct from other payments for the purchase of products. As such, the consideration (reimbursement) received upfront will be recognized as revenue over the non-cancelable term of the sales of goods agreement.</w:t>
      </w:r>
    </w:p>
    <w:p w:rsidR="00000000" w:rsidDel="00000000" w:rsidP="00000000" w:rsidRDefault="00000000" w:rsidRPr="00000000" w14:paraId="000000CE">
      <w:pPr>
        <w:pStyle w:val="Heading2"/>
        <w:numPr>
          <w:ilvl w:val="1"/>
          <w:numId w:val="1"/>
        </w:numPr>
        <w:ind w:left="1440" w:hanging="360"/>
        <w:rPr/>
      </w:pPr>
      <w:bookmarkStart w:colFirst="0" w:colLast="0" w:name="_heading=h.ovgig0jzrf6c" w:id="11"/>
      <w:bookmarkEnd w:id="11"/>
      <w:r w:rsidDel="00000000" w:rsidR="00000000" w:rsidRPr="00000000">
        <w:rPr>
          <w:rtl w:val="0"/>
        </w:rPr>
        <w:t xml:space="preserve">Step three – Determine the transaction price</w:t>
      </w:r>
    </w:p>
    <w:p w:rsidR="00000000" w:rsidDel="00000000" w:rsidP="00000000" w:rsidRDefault="00000000" w:rsidRPr="00000000" w14:paraId="000000CF">
      <w:pPr>
        <w:jc w:val="both"/>
        <w:rPr>
          <w:sz w:val="24"/>
          <w:szCs w:val="24"/>
        </w:rPr>
      </w:pPr>
      <w:r w:rsidDel="00000000" w:rsidR="00000000" w:rsidRPr="00000000">
        <w:rPr>
          <w:sz w:val="24"/>
          <w:szCs w:val="24"/>
          <w:rtl w:val="0"/>
        </w:rPr>
        <w:t xml:space="preserve">The transaction price is the amount of consideration the entity expects to be entitled to in exchange for transferring promised goods or services to a customer.  This will often be the amount specified in the contract.  However, the entity is also required to consider its customary business practices and, if these indicate that a lower amount will be accepted then this is the expected consideration.  </w:t>
      </w:r>
    </w:p>
    <w:p w:rsidR="00000000" w:rsidDel="00000000" w:rsidP="00000000" w:rsidRDefault="00000000" w:rsidRPr="00000000" w14:paraId="000000D0">
      <w:pPr>
        <w:jc w:val="both"/>
        <w:rPr>
          <w:sz w:val="24"/>
          <w:szCs w:val="24"/>
        </w:rPr>
      </w:pPr>
      <w:r w:rsidDel="00000000" w:rsidR="00000000" w:rsidRPr="00000000">
        <w:rPr>
          <w:sz w:val="24"/>
          <w:szCs w:val="24"/>
          <w:rtl w:val="0"/>
        </w:rPr>
        <w:t xml:space="preserve">The consideration promised in a contract with a customer may include fixed amounts, variable amounts, or both.</w:t>
      </w:r>
    </w:p>
    <w:p w:rsidR="00000000" w:rsidDel="00000000" w:rsidP="00000000" w:rsidRDefault="00000000" w:rsidRPr="00000000" w14:paraId="000000D1">
      <w:pPr>
        <w:rPr>
          <w:b w:val="1"/>
          <w:bCs w:val="1"/>
          <w:color w:val="ff6540"/>
        </w:rPr>
      </w:pPr>
      <w:r w:rsidDel="00000000" w:rsidR="00000000" w:rsidRPr="00000000">
        <w:rPr>
          <w:b w:val="1"/>
          <w:bCs w:val="1"/>
          <w:color w:val="ff6540"/>
          <w:rtl w:val="0"/>
        </w:rPr>
        <w:t xml:space="preserve">Variable consideration  </w:t>
      </w:r>
    </w:p>
    <w:p w:rsidR="00000000" w:rsidDel="00000000" w:rsidP="00000000" w:rsidRDefault="00000000" w:rsidRPr="00000000" w14:paraId="000000D2">
      <w:pPr>
        <w:jc w:val="both"/>
        <w:rPr>
          <w:sz w:val="24"/>
          <w:szCs w:val="24"/>
        </w:rPr>
      </w:pPr>
      <w:r w:rsidDel="00000000" w:rsidR="00000000" w:rsidRPr="00000000">
        <w:rPr>
          <w:sz w:val="24"/>
          <w:szCs w:val="24"/>
          <w:rtl w:val="0"/>
        </w:rPr>
        <w:t xml:space="preserve">Variable consideration can arise for a wide range of reasons, including discounts, rebates, refunds, credits, price concessions, incentives, performance bonuses, penalties, …</w:t>
      </w:r>
    </w:p>
    <w:p w:rsidR="00000000" w:rsidDel="00000000" w:rsidP="00000000" w:rsidRDefault="00000000" w:rsidRPr="00000000" w14:paraId="000000D3">
      <w:pPr>
        <w:jc w:val="both"/>
        <w:rPr>
          <w:sz w:val="24"/>
          <w:szCs w:val="24"/>
        </w:rPr>
      </w:pPr>
      <w:r w:rsidDel="00000000" w:rsidR="00000000" w:rsidRPr="00000000">
        <w:rPr>
          <w:sz w:val="24"/>
          <w:szCs w:val="24"/>
          <w:rtl w:val="0"/>
        </w:rPr>
        <w:t xml:space="preserve">The contract between an entity and its customer is key in this assessment.  However, the variability in the amount of consideration receivable may arise if the customer has a valid expectation arising from the entity’s customary business practices, published policies or specific statements that the entity will accept an amount of consideration that is less than the price stated in the contract.  </w:t>
      </w:r>
    </w:p>
    <w:p w:rsidR="00000000" w:rsidDel="00000000" w:rsidP="00000000" w:rsidRDefault="00000000" w:rsidRPr="00000000" w14:paraId="000000D4">
      <w:pPr>
        <w:pStyle w:val="Heading4"/>
        <w:numPr>
          <w:ilvl w:val="0"/>
          <w:numId w:val="12"/>
        </w:numPr>
        <w:rPr>
          <w:color w:val="ff6540"/>
        </w:rPr>
      </w:pPr>
      <w:r w:rsidDel="00000000" w:rsidR="00000000" w:rsidRPr="00000000">
        <w:rPr>
          <w:rtl w:val="0"/>
        </w:rPr>
        <w:t xml:space="preserve">Estimating variable consideration</w:t>
      </w:r>
      <w:r w:rsidDel="00000000" w:rsidR="00000000" w:rsidRPr="00000000">
        <w:rPr>
          <w:rtl w:val="0"/>
        </w:rPr>
      </w:r>
    </w:p>
    <w:p w:rsidR="00000000" w:rsidDel="00000000" w:rsidP="00000000" w:rsidRDefault="00000000" w:rsidRPr="00000000" w14:paraId="000000D5">
      <w:pPr>
        <w:jc w:val="both"/>
        <w:rPr>
          <w:sz w:val="24"/>
          <w:szCs w:val="24"/>
        </w:rPr>
      </w:pPr>
      <w:r w:rsidDel="00000000" w:rsidR="00000000" w:rsidRPr="00000000">
        <w:rPr>
          <w:sz w:val="24"/>
          <w:szCs w:val="24"/>
          <w:rtl w:val="0"/>
        </w:rPr>
        <w:t xml:space="preserve">An entity estimates the amount of consideration to which it is entitled by using either of the following methods, depending on which method the entity expects to better predict the amount of consideration to which it will be entitled:</w:t>
      </w:r>
    </w:p>
    <w:p w:rsidR="00000000" w:rsidDel="00000000" w:rsidP="00000000" w:rsidRDefault="00000000" w:rsidRPr="00000000" w14:paraId="000000D6">
      <w:pPr>
        <w:numPr>
          <w:ilvl w:val="0"/>
          <w:numId w:val="27"/>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i w:val="1"/>
          <w:iCs w:val="1"/>
          <w:color w:val="000000"/>
          <w:sz w:val="24"/>
          <w:szCs w:val="24"/>
          <w:u w:val="single"/>
          <w:rtl w:val="0"/>
        </w:rPr>
        <w:t xml:space="preserve">The expected value</w:t>
      </w:r>
      <w:r w:rsidDel="00000000" w:rsidR="00000000" w:rsidRPr="00000000">
        <w:rPr>
          <w:color w:val="000000"/>
          <w:sz w:val="24"/>
          <w:szCs w:val="24"/>
          <w:rtl w:val="0"/>
        </w:rPr>
        <w:t xml:space="preserve">: sum of probability weighted amounts in a range of possible consideration amounts. This may be an appropriate approach if an entity has a large number of contracts with similar characteristics.</w:t>
      </w:r>
    </w:p>
    <w:p w:rsidR="00000000" w:rsidDel="00000000" w:rsidP="00000000" w:rsidRDefault="00000000" w:rsidRPr="00000000" w14:paraId="000000D7">
      <w:pPr>
        <w:numPr>
          <w:ilvl w:val="0"/>
          <w:numId w:val="27"/>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i w:val="1"/>
          <w:iCs w:val="1"/>
          <w:color w:val="000000"/>
          <w:sz w:val="24"/>
          <w:szCs w:val="24"/>
          <w:u w:val="single"/>
          <w:rtl w:val="0"/>
        </w:rPr>
        <w:t xml:space="preserve">The most likely amount</w:t>
      </w:r>
      <w:r w:rsidDel="00000000" w:rsidR="00000000" w:rsidRPr="00000000">
        <w:rPr>
          <w:color w:val="000000"/>
          <w:sz w:val="24"/>
          <w:szCs w:val="24"/>
          <w:rtl w:val="0"/>
        </w:rPr>
        <w:t xml:space="preserve">: the most likely outcome from the contract.  This may be an appropriate estimate if the contract has only two possible outcomes (e.g. an entity either achieves a performance bonus or does not).</w:t>
      </w:r>
    </w:p>
    <w:p w:rsidR="00000000" w:rsidDel="00000000" w:rsidP="00000000" w:rsidRDefault="00000000" w:rsidRPr="00000000" w14:paraId="000000D8">
      <w:pPr>
        <w:jc w:val="both"/>
        <w:rPr>
          <w:sz w:val="24"/>
          <w:szCs w:val="24"/>
        </w:rPr>
      </w:pPr>
      <w:r w:rsidDel="00000000" w:rsidR="00000000" w:rsidRPr="00000000">
        <w:rPr>
          <w:sz w:val="24"/>
          <w:szCs w:val="24"/>
          <w:rtl w:val="0"/>
        </w:rPr>
        <w:t xml:space="preserve">The method selected shall be the one that best suits, based on facts and circumstances (not a free choice).  Once it selects an approach, an entity is required to apply that approach consistently (a) to similar types of contracts, and (b) over time.</w:t>
      </w:r>
    </w:p>
    <w:p w:rsidR="00000000" w:rsidDel="00000000" w:rsidP="00000000" w:rsidRDefault="00000000" w:rsidRPr="00000000" w14:paraId="000000D9">
      <w:pPr>
        <w:jc w:val="both"/>
        <w:rPr>
          <w:sz w:val="24"/>
          <w:szCs w:val="24"/>
        </w:rPr>
      </w:pPr>
      <w:r w:rsidDel="00000000" w:rsidR="00000000" w:rsidRPr="00000000">
        <w:rPr>
          <w:sz w:val="24"/>
          <w:szCs w:val="24"/>
          <w:rtl w:val="0"/>
        </w:rPr>
        <w:t xml:space="preserve">An entity may use different approaches for estimating different types of variable consideration within a single contract.</w:t>
      </w:r>
    </w:p>
    <w:p w:rsidR="00000000" w:rsidDel="00000000" w:rsidP="00000000" w:rsidRDefault="00000000" w:rsidRPr="00000000" w14:paraId="000000DA">
      <w:pPr>
        <w:pStyle w:val="Heading4"/>
        <w:numPr>
          <w:ilvl w:val="0"/>
          <w:numId w:val="12"/>
        </w:numPr>
        <w:ind w:left="0" w:firstLine="142"/>
        <w:rPr/>
      </w:pPr>
      <w:r w:rsidDel="00000000" w:rsidR="00000000" w:rsidRPr="00000000">
        <w:rPr>
          <w:rtl w:val="0"/>
        </w:rPr>
        <w:t xml:space="preserve">Constraining the cumulative amount of revenue recognized</w:t>
      </w:r>
    </w:p>
    <w:p w:rsidR="00000000" w:rsidDel="00000000" w:rsidP="00000000" w:rsidRDefault="00000000" w:rsidRPr="00000000" w14:paraId="000000DB">
      <w:pPr>
        <w:jc w:val="both"/>
        <w:rPr>
          <w:sz w:val="24"/>
          <w:szCs w:val="24"/>
        </w:rPr>
      </w:pPr>
      <w:r w:rsidDel="00000000" w:rsidR="00000000" w:rsidRPr="00000000">
        <w:rPr>
          <w:sz w:val="24"/>
          <w:szCs w:val="24"/>
          <w:rtl w:val="0"/>
        </w:rPr>
        <w:t xml:space="preserve">In order to avoid overly optimistic estimates and related revenue recognized, a constraint on the amount of variable revenue that can be recognized has been introduced.</w:t>
      </w:r>
    </w:p>
    <w:p w:rsidR="00000000" w:rsidDel="00000000" w:rsidP="00000000" w:rsidRDefault="00000000" w:rsidRPr="00000000" w14:paraId="000000DC">
      <w:pPr>
        <w:jc w:val="both"/>
        <w:rPr>
          <w:sz w:val="24"/>
          <w:szCs w:val="24"/>
        </w:rPr>
      </w:pPr>
      <w:r w:rsidDel="00000000" w:rsidR="00000000" w:rsidRPr="00000000">
        <w:rPr>
          <w:sz w:val="24"/>
          <w:szCs w:val="24"/>
          <w:rtl w:val="0"/>
        </w:rPr>
        <w:t xml:space="preserve">An entity shall include in the transaction price some or all of an amount of variable consideration only to the extent that it is highly probable that a significant reversal in the amount of cumulative revenue recognized will not occur when the uncertainty associated with the variable consideration is subsequently resolved.  An entity shall consider both the </w:t>
      </w:r>
      <w:r w:rsidDel="00000000" w:rsidR="00000000" w:rsidRPr="00000000">
        <w:rPr>
          <w:i w:val="1"/>
          <w:iCs w:val="1"/>
          <w:sz w:val="24"/>
          <w:szCs w:val="24"/>
          <w:u w:val="single"/>
          <w:rtl w:val="0"/>
        </w:rPr>
        <w:t xml:space="preserve">likelihood</w:t>
      </w:r>
      <w:r w:rsidDel="00000000" w:rsidR="00000000" w:rsidRPr="00000000">
        <w:rPr>
          <w:sz w:val="24"/>
          <w:szCs w:val="24"/>
          <w:rtl w:val="0"/>
        </w:rPr>
        <w:t xml:space="preserve"> and the </w:t>
      </w:r>
      <w:r w:rsidDel="00000000" w:rsidR="00000000" w:rsidRPr="00000000">
        <w:rPr>
          <w:i w:val="1"/>
          <w:iCs w:val="1"/>
          <w:sz w:val="24"/>
          <w:szCs w:val="24"/>
          <w:u w:val="single"/>
          <w:rtl w:val="0"/>
        </w:rPr>
        <w:t xml:space="preserve">magnitude</w:t>
      </w:r>
      <w:r w:rsidDel="00000000" w:rsidR="00000000" w:rsidRPr="00000000">
        <w:rPr>
          <w:sz w:val="24"/>
          <w:szCs w:val="24"/>
          <w:rtl w:val="0"/>
        </w:rPr>
        <w:t xml:space="preserve"> of the revenue reversal.  If the consideration for a single performance obligation includes both a fixed and a variable amount, the entity would assess the magnitude of a possible revenue reversal of the variable amount relative to the total consideration (the total of variable and fixed consideration). If a significant reversal could occur, the related revenue is deferred until it becomes highly probable that no significant reversal will occur. </w:t>
      </w:r>
    </w:p>
    <w:p w:rsidR="00000000" w:rsidDel="00000000" w:rsidP="00000000" w:rsidRDefault="00000000" w:rsidRPr="00000000" w14:paraId="000000DD">
      <w:pPr>
        <w:jc w:val="both"/>
        <w:rPr>
          <w:sz w:val="24"/>
          <w:szCs w:val="24"/>
        </w:rPr>
      </w:pPr>
      <w:r w:rsidDel="00000000" w:rsidR="00000000" w:rsidRPr="00000000">
        <w:rPr>
          <w:sz w:val="24"/>
          <w:szCs w:val="24"/>
          <w:rtl w:val="0"/>
        </w:rPr>
        <w:t xml:space="preserve">When an entity determines that it is highly probable that a change in the estimate of variable consideration would result in a significant revenue reversal, the amount of variable consideration that must be included in the transaction price is limited to the amount that would not result in a significant revenue reversal.</w:t>
      </w:r>
    </w:p>
    <w:p w:rsidR="00000000" w:rsidDel="00000000" w:rsidP="00000000" w:rsidRDefault="00000000" w:rsidRPr="00000000" w14:paraId="000000DE">
      <w:pPr>
        <w:pStyle w:val="Subtitle"/>
        <w:rPr/>
      </w:pPr>
      <w:r w:rsidDel="00000000" w:rsidR="00000000" w:rsidRPr="00000000">
        <w:rPr>
          <w:rtl w:val="0"/>
        </w:rPr>
        <w:t xml:space="preserve">In practice</w:t>
      </w:r>
    </w:p>
    <w:p w:rsidR="00000000" w:rsidDel="00000000" w:rsidP="00000000" w:rsidRDefault="00000000" w:rsidRPr="00000000" w14:paraId="000000DF">
      <w:pPr>
        <w:jc w:val="both"/>
        <w:rPr>
          <w:sz w:val="24"/>
          <w:szCs w:val="24"/>
        </w:rPr>
      </w:pPr>
      <w:r w:rsidDel="00000000" w:rsidR="00000000" w:rsidRPr="00000000">
        <w:rPr>
          <w:sz w:val="24"/>
          <w:szCs w:val="24"/>
          <w:u w:val="single"/>
          <w:rtl w:val="0"/>
        </w:rPr>
        <w:t xml:space="preserve">Volume rebates settled in cash and early payment discount granted to customer</w:t>
      </w:r>
      <w:r w:rsidDel="00000000" w:rsidR="00000000" w:rsidRPr="00000000">
        <w:rPr>
          <w:sz w:val="24"/>
          <w:szCs w:val="24"/>
          <w:rtl w:val="0"/>
        </w:rPr>
        <w:t xml:space="preserve">: the cumulative amount of revenue recognized under a sales contract takes into account a best estimate of volume rebates that will be given to the customer. In other words, these rebates/discounts are deducted from revenue. </w:t>
      </w:r>
    </w:p>
    <w:p w:rsidR="00000000" w:rsidDel="00000000" w:rsidP="00000000" w:rsidRDefault="00000000" w:rsidRPr="00000000" w14:paraId="000000E0">
      <w:pPr>
        <w:jc w:val="both"/>
        <w:rPr>
          <w:sz w:val="24"/>
          <w:szCs w:val="24"/>
        </w:rPr>
      </w:pPr>
      <w:r w:rsidDel="00000000" w:rsidR="00000000" w:rsidRPr="00000000">
        <w:rPr>
          <w:sz w:val="24"/>
          <w:szCs w:val="24"/>
          <w:u w:val="single"/>
          <w:rtl w:val="0"/>
        </w:rPr>
        <w:t xml:space="preserve">Volume rebates settled in the form of free product</w:t>
      </w:r>
      <w:r w:rsidDel="00000000" w:rsidR="00000000" w:rsidRPr="00000000">
        <w:rPr>
          <w:sz w:val="24"/>
          <w:szCs w:val="24"/>
          <w:rtl w:val="0"/>
        </w:rPr>
        <w:t xml:space="preserve">: the same applies when free product is expected to be given: the cumulative amount of revenue recognized under a sales contract takes into account a best estimate of the sales value of free product that will be given to the customer. This deferred revenue will be recognized when the free product is actually delivered. </w:t>
      </w:r>
    </w:p>
    <w:p w:rsidR="00000000" w:rsidDel="00000000" w:rsidP="00000000" w:rsidRDefault="00000000" w:rsidRPr="00000000" w14:paraId="000000E1">
      <w:pPr>
        <w:jc w:val="both"/>
        <w:rPr>
          <w:sz w:val="24"/>
          <w:szCs w:val="24"/>
        </w:rPr>
      </w:pPr>
      <w:r w:rsidDel="00000000" w:rsidR="00000000" w:rsidRPr="00000000">
        <w:rPr>
          <w:sz w:val="24"/>
          <w:szCs w:val="24"/>
          <w:u w:val="single"/>
          <w:rtl w:val="0"/>
        </w:rPr>
        <w:t xml:space="preserve">Additional billings to customer contingent on attaining certain performance conditions</w:t>
      </w:r>
      <w:r w:rsidDel="00000000" w:rsidR="00000000" w:rsidRPr="00000000">
        <w:rPr>
          <w:sz w:val="24"/>
          <w:szCs w:val="24"/>
          <w:rtl w:val="0"/>
        </w:rPr>
        <w:t xml:space="preserve">: the cumulative amount of revenue recognized under a sales contract does not take into account the additional billings unless it becomes highly probable that the performance conditions that entitle us to those additional billings will be attained. </w:t>
      </w:r>
    </w:p>
    <w:p w:rsidR="00000000" w:rsidDel="00000000" w:rsidP="00000000" w:rsidRDefault="00000000" w:rsidRPr="00000000" w14:paraId="000000E2">
      <w:pPr>
        <w:pStyle w:val="Heading4"/>
        <w:numPr>
          <w:ilvl w:val="0"/>
          <w:numId w:val="12"/>
        </w:numPr>
        <w:ind w:left="0" w:firstLine="284"/>
        <w:rPr/>
      </w:pPr>
      <w:r w:rsidDel="00000000" w:rsidR="00000000" w:rsidRPr="00000000">
        <w:rPr>
          <w:rtl w:val="0"/>
        </w:rPr>
        <w:t xml:space="preserve">Specific types of variable consideration</w:t>
      </w:r>
    </w:p>
    <w:p w:rsidR="00000000" w:rsidDel="00000000" w:rsidP="00000000" w:rsidRDefault="00000000" w:rsidRPr="00000000" w14:paraId="000000E3">
      <w:pPr>
        <w:pStyle w:val="Heading4"/>
        <w:rPr/>
      </w:pPr>
      <w:r w:rsidDel="00000000" w:rsidR="00000000" w:rsidRPr="00000000">
        <w:rPr>
          <w:rtl w:val="0"/>
        </w:rPr>
        <w:t xml:space="preserve">Rights of return even if the goods meet the quality specifications</w:t>
      </w:r>
    </w:p>
    <w:p w:rsidR="00000000" w:rsidDel="00000000" w:rsidP="00000000" w:rsidRDefault="00000000" w:rsidRPr="00000000" w14:paraId="000000E4">
      <w:pPr>
        <w:jc w:val="both"/>
        <w:rPr>
          <w:sz w:val="24"/>
          <w:szCs w:val="24"/>
        </w:rPr>
      </w:pPr>
      <w:r w:rsidDel="00000000" w:rsidR="00000000" w:rsidRPr="00000000">
        <w:rPr>
          <w:sz w:val="24"/>
          <w:szCs w:val="24"/>
          <w:rtl w:val="0"/>
        </w:rPr>
        <w:t xml:space="preserve">A right of return does not represent a separate performance obligation.  Instead, a right of return affects the transaction price and the amount of revenue an entity can recognize for satisfied performance obligations.  </w:t>
      </w:r>
    </w:p>
    <w:p w:rsidR="00000000" w:rsidDel="00000000" w:rsidP="00000000" w:rsidRDefault="00000000" w:rsidRPr="00000000" w14:paraId="000000E5">
      <w:pPr>
        <w:jc w:val="both"/>
        <w:rPr>
          <w:sz w:val="24"/>
          <w:szCs w:val="24"/>
        </w:rPr>
      </w:pPr>
      <w:r w:rsidDel="00000000" w:rsidR="00000000" w:rsidRPr="00000000">
        <w:rPr>
          <w:sz w:val="24"/>
          <w:szCs w:val="24"/>
          <w:rtl w:val="0"/>
        </w:rPr>
        <w:t xml:space="preserve">In other words, right of return creates variability in the transaction price because it affects the transaction price and the amount of revenue an entity can recognize for satisfied performance obligations.  </w:t>
      </w:r>
    </w:p>
    <w:p w:rsidR="00000000" w:rsidDel="00000000" w:rsidP="00000000" w:rsidRDefault="00000000" w:rsidRPr="00000000" w14:paraId="000000E6">
      <w:pPr>
        <w:jc w:val="both"/>
        <w:rPr>
          <w:sz w:val="24"/>
          <w:szCs w:val="24"/>
        </w:rPr>
      </w:pPr>
      <w:r w:rsidDel="00000000" w:rsidR="00000000" w:rsidRPr="00000000">
        <w:rPr>
          <w:sz w:val="24"/>
          <w:szCs w:val="24"/>
          <w:rtl w:val="0"/>
        </w:rPr>
        <w:t xml:space="preserve">An entity will estimate the transaction price and apply the constraint to the estimated transaction price.  In doing so, it will consider the products expected to be returned in order to determine the amount to which the entity expects to be entitled (excluding the products expected to be returned).  </w:t>
      </w:r>
    </w:p>
    <w:p w:rsidR="00000000" w:rsidDel="00000000" w:rsidP="00000000" w:rsidRDefault="00000000" w:rsidRPr="00000000" w14:paraId="000000E7">
      <w:pPr>
        <w:jc w:val="both"/>
        <w:rPr>
          <w:sz w:val="24"/>
          <w:szCs w:val="24"/>
        </w:rPr>
      </w:pPr>
      <w:r w:rsidDel="00000000" w:rsidR="00000000" w:rsidRPr="00000000">
        <w:rPr>
          <w:sz w:val="24"/>
          <w:szCs w:val="24"/>
          <w:rtl w:val="0"/>
        </w:rPr>
        <w:t xml:space="preserve">An entity will recognize the amount of expected returns as a refund liability, representing its obligation to return the customer’s consideration.  The portion of revenue subject to the constraint would not be recognized until the amounts are no longer subject to the constraint, which could be at the end of the return period.  At the time of initial sale, the entity recognizes a return asset (adjustment of cost of goods sold) for its right to recover the goods returned by the customer.  </w:t>
      </w:r>
    </w:p>
    <w:p w:rsidR="00000000" w:rsidDel="00000000" w:rsidP="00000000" w:rsidRDefault="00000000" w:rsidRPr="00000000" w14:paraId="000000E8">
      <w:pPr>
        <w:pStyle w:val="Subtitle"/>
        <w:rPr/>
      </w:pPr>
      <w:r w:rsidDel="00000000" w:rsidR="00000000" w:rsidRPr="00000000">
        <w:rPr>
          <w:rtl w:val="0"/>
        </w:rPr>
        <w:t xml:space="preserve">Example</w:t>
      </w:r>
    </w:p>
    <w:p w:rsidR="00000000" w:rsidDel="00000000" w:rsidP="00000000" w:rsidRDefault="00000000" w:rsidRPr="00000000" w14:paraId="000000E9">
      <w:pPr>
        <w:numPr>
          <w:ilvl w:val="0"/>
          <w:numId w:val="28"/>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Sale of 100 products, unit price of 10 € - Total consideration = 1 000 €</w:t>
      </w:r>
    </w:p>
    <w:p w:rsidR="00000000" w:rsidDel="00000000" w:rsidP="00000000" w:rsidRDefault="00000000" w:rsidRPr="00000000" w14:paraId="000000EA">
      <w:pPr>
        <w:numPr>
          <w:ilvl w:val="0"/>
          <w:numId w:val="28"/>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Cash is received when products are transferred </w:t>
      </w:r>
    </w:p>
    <w:p w:rsidR="00000000" w:rsidDel="00000000" w:rsidP="00000000" w:rsidRDefault="00000000" w:rsidRPr="00000000" w14:paraId="000000EB">
      <w:pPr>
        <w:numPr>
          <w:ilvl w:val="0"/>
          <w:numId w:val="28"/>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Products can be returned within 30 days, in which case customer is fully repaid</w:t>
      </w:r>
    </w:p>
    <w:p w:rsidR="00000000" w:rsidDel="00000000" w:rsidP="00000000" w:rsidRDefault="00000000" w:rsidRPr="00000000" w14:paraId="000000EC">
      <w:pPr>
        <w:numPr>
          <w:ilvl w:val="0"/>
          <w:numId w:val="28"/>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cost of a product is 6 €</w:t>
      </w:r>
    </w:p>
    <w:p w:rsidR="00000000" w:rsidDel="00000000" w:rsidP="00000000" w:rsidRDefault="00000000" w:rsidRPr="00000000" w14:paraId="000000ED">
      <w:pPr>
        <w:numPr>
          <w:ilvl w:val="0"/>
          <w:numId w:val="28"/>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The costs to recover the product are insignificant.</w:t>
      </w:r>
    </w:p>
    <w:p w:rsidR="00000000" w:rsidDel="00000000" w:rsidP="00000000" w:rsidRDefault="00000000" w:rsidRPr="00000000" w14:paraId="000000EE">
      <w:pPr>
        <w:jc w:val="both"/>
        <w:rPr>
          <w:sz w:val="24"/>
          <w:szCs w:val="24"/>
        </w:rPr>
      </w:pPr>
      <w:r w:rsidDel="00000000" w:rsidR="00000000" w:rsidRPr="00000000">
        <w:rPr>
          <w:sz w:val="24"/>
          <w:szCs w:val="24"/>
          <w:rtl w:val="0"/>
        </w:rPr>
        <w:t xml:space="preserve">We estimate that 97 products will not be returned.</w:t>
      </w:r>
    </w:p>
    <w:p w:rsidR="00000000" w:rsidDel="00000000" w:rsidP="00000000" w:rsidRDefault="00000000" w:rsidRPr="00000000" w14:paraId="000000EF">
      <w:pPr>
        <w:jc w:val="both"/>
        <w:rPr>
          <w:sz w:val="24"/>
          <w:szCs w:val="24"/>
        </w:rPr>
      </w:pPr>
      <w:r w:rsidDel="00000000" w:rsidR="00000000" w:rsidRPr="00000000">
        <w:rPr>
          <w:sz w:val="24"/>
          <w:szCs w:val="24"/>
        </w:rPr>
        <w:drawing>
          <wp:inline distB="0" distT="0" distL="0" distR="0">
            <wp:extent cx="3020485" cy="1401692"/>
            <wp:effectExtent b="0" l="0" r="0" t="0"/>
            <wp:docPr id="2055"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3020485" cy="1401692"/>
                    </a:xfrm>
                    <a:prstGeom prst="rect"/>
                    <a:ln/>
                  </pic:spPr>
                </pic:pic>
              </a:graphicData>
            </a:graphic>
          </wp:inline>
        </w:drawing>
      </w:r>
      <w:r w:rsidDel="00000000" w:rsidR="00000000" w:rsidRPr="00000000">
        <w:rPr>
          <w:rtl w:val="0"/>
        </w:rPr>
      </w:r>
    </w:p>
    <w:p w:rsidR="00000000" w:rsidDel="00000000" w:rsidP="00000000" w:rsidRDefault="00000000" w:rsidRPr="00000000" w14:paraId="000000F0">
      <w:pPr>
        <w:pStyle w:val="Heading4"/>
        <w:rPr/>
      </w:pPr>
      <w:r w:rsidDel="00000000" w:rsidR="00000000" w:rsidRPr="00000000">
        <w:rPr>
          <w:rtl w:val="0"/>
        </w:rPr>
        <w:t xml:space="preserve">Volume discounts</w:t>
      </w:r>
    </w:p>
    <w:p w:rsidR="00000000" w:rsidDel="00000000" w:rsidP="00000000" w:rsidRDefault="00000000" w:rsidRPr="00000000" w14:paraId="000000F1">
      <w:pPr>
        <w:jc w:val="both"/>
        <w:rPr>
          <w:sz w:val="24"/>
          <w:szCs w:val="24"/>
        </w:rPr>
      </w:pPr>
      <w:r w:rsidDel="00000000" w:rsidR="00000000" w:rsidRPr="00000000">
        <w:rPr>
          <w:sz w:val="24"/>
          <w:szCs w:val="24"/>
          <w:rtl w:val="0"/>
        </w:rPr>
        <w:t xml:space="preserve">Volume discounts typically require a customer to purchase a specified amount of goods or services, after which the price of additional goods or services decreases. These arrangements include variable consideration because the total amount to be paid by the customer is not known at contract inception and is affected by the amount of goods or services ultimately purchased.</w:t>
      </w:r>
    </w:p>
    <w:p w:rsidR="00000000" w:rsidDel="00000000" w:rsidP="00000000" w:rsidRDefault="00000000" w:rsidRPr="00000000" w14:paraId="000000F2">
      <w:pPr>
        <w:jc w:val="both"/>
        <w:rPr>
          <w:sz w:val="24"/>
          <w:szCs w:val="24"/>
        </w:rPr>
      </w:pPr>
      <w:r w:rsidDel="00000000" w:rsidR="00000000" w:rsidRPr="00000000">
        <w:rPr>
          <w:sz w:val="24"/>
          <w:szCs w:val="24"/>
          <w:rtl w:val="0"/>
        </w:rPr>
        <w:t xml:space="preserve">A similar treatment applies when </w:t>
      </w:r>
      <w:r w:rsidDel="00000000" w:rsidR="00000000" w:rsidRPr="00000000">
        <w:rPr>
          <w:b w:val="1"/>
          <w:bCs w:val="1"/>
          <w:sz w:val="24"/>
          <w:szCs w:val="24"/>
          <w:rtl w:val="0"/>
        </w:rPr>
        <w:t xml:space="preserve">free product</w:t>
      </w:r>
      <w:r w:rsidDel="00000000" w:rsidR="00000000" w:rsidRPr="00000000">
        <w:rPr>
          <w:sz w:val="24"/>
          <w:szCs w:val="24"/>
          <w:rtl w:val="0"/>
        </w:rPr>
        <w:t xml:space="preserve"> is expected to be given, i.e. vs. a volume discount settled in cash: when the sale of products takes place, a portion of the revenue, corresponding to the free product expected to be delivered, is deferred. This deferred revenue will be recognized when the free product is actually delivered. All other things being equal, such achieves a constant revenue per unit of product sold (i.e. products charged for and products delivered for free).</w:t>
      </w:r>
    </w:p>
    <w:p w:rsidR="00000000" w:rsidDel="00000000" w:rsidP="00000000" w:rsidRDefault="00000000" w:rsidRPr="00000000" w14:paraId="000000F3">
      <w:pPr>
        <w:pStyle w:val="Subtitle"/>
        <w:rPr/>
      </w:pPr>
      <w:r w:rsidDel="00000000" w:rsidR="00000000" w:rsidRPr="00000000">
        <w:rPr>
          <w:rtl w:val="0"/>
        </w:rPr>
        <w:t xml:space="preserve">Example</w:t>
      </w:r>
    </w:p>
    <w:p w:rsidR="00000000" w:rsidDel="00000000" w:rsidP="00000000" w:rsidRDefault="00000000" w:rsidRPr="00000000" w14:paraId="000000F4">
      <w:pPr>
        <w:jc w:val="both"/>
        <w:rPr>
          <w:sz w:val="24"/>
          <w:szCs w:val="24"/>
        </w:rPr>
      </w:pPr>
      <w:r w:rsidDel="00000000" w:rsidR="00000000" w:rsidRPr="00000000">
        <w:rPr>
          <w:sz w:val="24"/>
          <w:szCs w:val="24"/>
          <w:rtl w:val="0"/>
        </w:rPr>
        <w:t xml:space="preserve">We enter into a contract with a customer that stipulates that the price per unit will decrease as sales volume increases as follows:</w:t>
      </w:r>
    </w:p>
    <w:p w:rsidR="00000000" w:rsidDel="00000000" w:rsidP="00000000" w:rsidRDefault="00000000" w:rsidRPr="00000000" w14:paraId="000000F5">
      <w:pPr>
        <w:jc w:val="both"/>
        <w:rPr>
          <w:sz w:val="24"/>
          <w:szCs w:val="24"/>
        </w:rPr>
      </w:pPr>
      <w:r w:rsidDel="00000000" w:rsidR="00000000" w:rsidRPr="00000000">
        <w:rPr>
          <w:rtl w:val="0"/>
        </w:rPr>
      </w:r>
    </w:p>
    <w:tbl>
      <w:tblPr>
        <w:tblStyle w:val="Table3"/>
        <w:tblW w:w="6262.0" w:type="dxa"/>
        <w:jc w:val="center"/>
        <w:tblLayout w:type="fixed"/>
        <w:tblLook w:val="0400"/>
      </w:tblPr>
      <w:tblGrid>
        <w:gridCol w:w="3131"/>
        <w:gridCol w:w="3131"/>
        <w:tblGridChange w:id="0">
          <w:tblGrid>
            <w:gridCol w:w="3131"/>
            <w:gridCol w:w="3131"/>
          </w:tblGrid>
        </w:tblGridChange>
      </w:tblGrid>
      <w:tr>
        <w:trPr>
          <w:cantSplit w:val="0"/>
          <w:trHeight w:val="262" w:hRule="atLeast"/>
          <w:tblHeader w:val="0"/>
        </w:trPr>
        <w:tc>
          <w:tcPr>
            <w:tcBorders>
              <w:top w:color="ffffff" w:space="0" w:sz="8" w:val="single"/>
              <w:left w:color="ffffff" w:space="0" w:sz="8" w:val="single"/>
              <w:bottom w:color="ffffff" w:space="0" w:sz="24" w:val="single"/>
              <w:right w:color="ffffff" w:space="0" w:sz="8" w:val="single"/>
            </w:tcBorders>
            <w:shd w:fill="0070c0" w:val="clear"/>
            <w:tcMar>
              <w:top w:w="72.0" w:type="dxa"/>
              <w:left w:w="144.0" w:type="dxa"/>
              <w:bottom w:w="72.0" w:type="dxa"/>
              <w:right w:w="144.0" w:type="dxa"/>
            </w:tcMar>
          </w:tcPr>
          <w:p w:rsidR="00000000" w:rsidDel="00000000" w:rsidP="00000000" w:rsidRDefault="00000000" w:rsidRPr="00000000" w14:paraId="000000F6">
            <w:pPr>
              <w:spacing w:after="0" w:line="240" w:lineRule="auto"/>
              <w:rPr>
                <w:rFonts w:ascii="Arial" w:cs="Arial" w:eastAsia="Arial" w:hAnsi="Arial"/>
                <w:sz w:val="36"/>
                <w:szCs w:val="36"/>
              </w:rPr>
            </w:pPr>
            <w:r w:rsidDel="00000000" w:rsidR="00000000" w:rsidRPr="00000000">
              <w:rPr>
                <w:rFonts w:ascii="Arial" w:cs="Arial" w:eastAsia="Arial" w:hAnsi="Arial"/>
                <w:b w:val="1"/>
                <w:bCs w:val="1"/>
                <w:color w:val="ffffff"/>
                <w:sz w:val="24"/>
                <w:szCs w:val="24"/>
                <w:rtl w:val="0"/>
              </w:rPr>
              <w:t xml:space="preserve">Price per unit</w:t>
            </w:r>
            <w:r w:rsidDel="00000000" w:rsidR="00000000" w:rsidRPr="00000000">
              <w:rPr>
                <w:rtl w:val="0"/>
              </w:rPr>
            </w:r>
          </w:p>
        </w:tc>
        <w:tc>
          <w:tcPr>
            <w:tcBorders>
              <w:top w:color="ffffff" w:space="0" w:sz="8" w:val="single"/>
              <w:left w:color="ffffff" w:space="0" w:sz="8" w:val="single"/>
              <w:bottom w:color="ffffff" w:space="0" w:sz="24" w:val="single"/>
              <w:right w:color="ffffff" w:space="0" w:sz="8" w:val="single"/>
            </w:tcBorders>
            <w:shd w:fill="0070c0" w:val="clear"/>
            <w:tcMar>
              <w:top w:w="72.0" w:type="dxa"/>
              <w:left w:w="144.0" w:type="dxa"/>
              <w:bottom w:w="72.0" w:type="dxa"/>
              <w:right w:w="144.0" w:type="dxa"/>
            </w:tcMar>
          </w:tcPr>
          <w:p w:rsidR="00000000" w:rsidDel="00000000" w:rsidP="00000000" w:rsidRDefault="00000000" w:rsidRPr="00000000" w14:paraId="000000F7">
            <w:pPr>
              <w:spacing w:after="0" w:line="240" w:lineRule="auto"/>
              <w:rPr>
                <w:rFonts w:ascii="Arial" w:cs="Arial" w:eastAsia="Arial" w:hAnsi="Arial"/>
                <w:sz w:val="36"/>
                <w:szCs w:val="36"/>
              </w:rPr>
            </w:pPr>
            <w:r w:rsidDel="00000000" w:rsidR="00000000" w:rsidRPr="00000000">
              <w:rPr>
                <w:rFonts w:ascii="Arial" w:cs="Arial" w:eastAsia="Arial" w:hAnsi="Arial"/>
                <w:b w:val="1"/>
                <w:bCs w:val="1"/>
                <w:color w:val="ffffff"/>
                <w:sz w:val="24"/>
                <w:szCs w:val="24"/>
                <w:rtl w:val="0"/>
              </w:rPr>
              <w:t xml:space="preserve">Sales volume</w:t>
            </w:r>
            <w:r w:rsidDel="00000000" w:rsidR="00000000" w:rsidRPr="00000000">
              <w:rPr>
                <w:rtl w:val="0"/>
              </w:rPr>
            </w:r>
          </w:p>
        </w:tc>
      </w:tr>
      <w:tr>
        <w:trPr>
          <w:cantSplit w:val="0"/>
          <w:trHeight w:val="262" w:hRule="atLeast"/>
          <w:tblHeader w:val="0"/>
        </w:trPr>
        <w:tc>
          <w:tcPr>
            <w:tcBorders>
              <w:top w:color="ffffff" w:space="0" w:sz="24" w:val="single"/>
              <w:left w:color="ffffff" w:space="0" w:sz="8" w:val="single"/>
              <w:bottom w:color="ffffff" w:space="0" w:sz="8" w:val="single"/>
              <w:right w:color="ffffff" w:space="0" w:sz="8" w:val="single"/>
            </w:tcBorders>
            <w:shd w:fill="e2e5fa" w:val="clear"/>
            <w:tcMar>
              <w:top w:w="72.0" w:type="dxa"/>
              <w:left w:w="144.0" w:type="dxa"/>
              <w:bottom w:w="72.0" w:type="dxa"/>
              <w:right w:w="144.0" w:type="dxa"/>
            </w:tcMar>
          </w:tcPr>
          <w:p w:rsidR="00000000" w:rsidDel="00000000" w:rsidP="00000000" w:rsidRDefault="00000000" w:rsidRPr="00000000" w14:paraId="000000F8">
            <w:pPr>
              <w:spacing w:after="0" w:line="240" w:lineRule="auto"/>
              <w:rPr>
                <w:rFonts w:ascii="Arial" w:cs="Arial" w:eastAsia="Arial" w:hAnsi="Arial"/>
                <w:sz w:val="36"/>
                <w:szCs w:val="36"/>
              </w:rPr>
            </w:pPr>
            <w:r w:rsidDel="00000000" w:rsidR="00000000" w:rsidRPr="00000000">
              <w:rPr>
                <w:rFonts w:ascii="Arial" w:cs="Arial" w:eastAsia="Arial" w:hAnsi="Arial"/>
                <w:color w:val="000000"/>
                <w:sz w:val="24"/>
                <w:szCs w:val="24"/>
                <w:rtl w:val="0"/>
              </w:rPr>
              <w:t xml:space="preserve">100 €</w:t>
            </w:r>
            <w:r w:rsidDel="00000000" w:rsidR="00000000" w:rsidRPr="00000000">
              <w:rPr>
                <w:rtl w:val="0"/>
              </w:rPr>
            </w:r>
          </w:p>
        </w:tc>
        <w:tc>
          <w:tcPr>
            <w:tcBorders>
              <w:top w:color="ffffff" w:space="0" w:sz="24" w:val="single"/>
              <w:left w:color="ffffff" w:space="0" w:sz="8" w:val="single"/>
              <w:bottom w:color="ffffff" w:space="0" w:sz="8" w:val="single"/>
              <w:right w:color="ffffff" w:space="0" w:sz="8" w:val="single"/>
            </w:tcBorders>
            <w:shd w:fill="e2e5fa" w:val="clear"/>
            <w:tcMar>
              <w:top w:w="72.0" w:type="dxa"/>
              <w:left w:w="144.0" w:type="dxa"/>
              <w:bottom w:w="72.0" w:type="dxa"/>
              <w:right w:w="144.0" w:type="dxa"/>
            </w:tcMar>
          </w:tcPr>
          <w:p w:rsidR="00000000" w:rsidDel="00000000" w:rsidP="00000000" w:rsidRDefault="00000000" w:rsidRPr="00000000" w14:paraId="000000F9">
            <w:pPr>
              <w:spacing w:after="0" w:line="240" w:lineRule="auto"/>
              <w:rPr>
                <w:rFonts w:ascii="Arial" w:cs="Arial" w:eastAsia="Arial" w:hAnsi="Arial"/>
                <w:sz w:val="36"/>
                <w:szCs w:val="36"/>
              </w:rPr>
            </w:pPr>
            <w:r w:rsidDel="00000000" w:rsidR="00000000" w:rsidRPr="00000000">
              <w:rPr>
                <w:rFonts w:ascii="Arial" w:cs="Arial" w:eastAsia="Arial" w:hAnsi="Arial"/>
                <w:color w:val="000000"/>
                <w:sz w:val="24"/>
                <w:szCs w:val="24"/>
                <w:rtl w:val="0"/>
              </w:rPr>
              <w:t xml:space="preserve">0 – 1 000 units</w:t>
            </w:r>
            <w:r w:rsidDel="00000000" w:rsidR="00000000" w:rsidRPr="00000000">
              <w:rPr>
                <w:rtl w:val="0"/>
              </w:rPr>
            </w:r>
          </w:p>
        </w:tc>
      </w:tr>
      <w:tr>
        <w:trPr>
          <w:cantSplit w:val="0"/>
          <w:trHeight w:val="262" w:hRule="atLeast"/>
          <w:tblHeader w:val="0"/>
        </w:trPr>
        <w:tc>
          <w:tcPr>
            <w:tcBorders>
              <w:top w:color="ffffff" w:space="0" w:sz="8" w:val="single"/>
              <w:left w:color="ffffff" w:space="0" w:sz="8" w:val="single"/>
              <w:bottom w:color="ffffff" w:space="0" w:sz="8" w:val="single"/>
              <w:right w:color="ffffff" w:space="0" w:sz="8" w:val="single"/>
            </w:tcBorders>
            <w:shd w:fill="f3f9fa" w:val="clear"/>
            <w:tcMar>
              <w:top w:w="72.0" w:type="dxa"/>
              <w:left w:w="144.0" w:type="dxa"/>
              <w:bottom w:w="72.0" w:type="dxa"/>
              <w:right w:w="144.0" w:type="dxa"/>
            </w:tcMar>
          </w:tcPr>
          <w:p w:rsidR="00000000" w:rsidDel="00000000" w:rsidP="00000000" w:rsidRDefault="00000000" w:rsidRPr="00000000" w14:paraId="000000FA">
            <w:pPr>
              <w:spacing w:after="0" w:line="240" w:lineRule="auto"/>
              <w:rPr>
                <w:rFonts w:ascii="Arial" w:cs="Arial" w:eastAsia="Arial" w:hAnsi="Arial"/>
                <w:sz w:val="36"/>
                <w:szCs w:val="36"/>
              </w:rPr>
            </w:pPr>
            <w:r w:rsidDel="00000000" w:rsidR="00000000" w:rsidRPr="00000000">
              <w:rPr>
                <w:rFonts w:ascii="Arial" w:cs="Arial" w:eastAsia="Arial" w:hAnsi="Arial"/>
                <w:color w:val="000000"/>
                <w:sz w:val="24"/>
                <w:szCs w:val="24"/>
                <w:rtl w:val="0"/>
              </w:rPr>
              <w:t xml:space="preserve">90 €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f3f9fa" w:val="clear"/>
            <w:tcMar>
              <w:top w:w="72.0" w:type="dxa"/>
              <w:left w:w="144.0" w:type="dxa"/>
              <w:bottom w:w="72.0" w:type="dxa"/>
              <w:right w:w="144.0" w:type="dxa"/>
            </w:tcMar>
          </w:tcPr>
          <w:p w:rsidR="00000000" w:rsidDel="00000000" w:rsidP="00000000" w:rsidRDefault="00000000" w:rsidRPr="00000000" w14:paraId="000000FB">
            <w:pPr>
              <w:spacing w:after="0" w:line="240" w:lineRule="auto"/>
              <w:rPr>
                <w:rFonts w:ascii="Arial" w:cs="Arial" w:eastAsia="Arial" w:hAnsi="Arial"/>
                <w:sz w:val="36"/>
                <w:szCs w:val="36"/>
              </w:rPr>
            </w:pPr>
            <w:r w:rsidDel="00000000" w:rsidR="00000000" w:rsidRPr="00000000">
              <w:rPr>
                <w:rFonts w:ascii="Arial" w:cs="Arial" w:eastAsia="Arial" w:hAnsi="Arial"/>
                <w:color w:val="000000"/>
                <w:sz w:val="24"/>
                <w:szCs w:val="24"/>
                <w:rtl w:val="0"/>
              </w:rPr>
              <w:t xml:space="preserve">1 001 – 3 000 units</w:t>
            </w:r>
            <w:r w:rsidDel="00000000" w:rsidR="00000000" w:rsidRPr="00000000">
              <w:rPr>
                <w:rtl w:val="0"/>
              </w:rPr>
            </w:r>
          </w:p>
        </w:tc>
      </w:tr>
      <w:tr>
        <w:trPr>
          <w:cantSplit w:val="0"/>
          <w:trHeight w:val="262" w:hRule="atLeast"/>
          <w:tblHeader w:val="0"/>
        </w:trPr>
        <w:tc>
          <w:tcPr>
            <w:tcBorders>
              <w:top w:color="ffffff" w:space="0" w:sz="8" w:val="single"/>
              <w:left w:color="ffffff" w:space="0" w:sz="8" w:val="single"/>
              <w:bottom w:color="ffffff" w:space="0" w:sz="8" w:val="single"/>
              <w:right w:color="ffffff" w:space="0" w:sz="8" w:val="single"/>
            </w:tcBorders>
            <w:shd w:fill="e2e5fa" w:val="clear"/>
            <w:tcMar>
              <w:top w:w="72.0" w:type="dxa"/>
              <w:left w:w="144.0" w:type="dxa"/>
              <w:bottom w:w="72.0" w:type="dxa"/>
              <w:right w:w="144.0" w:type="dxa"/>
            </w:tcMar>
          </w:tcPr>
          <w:p w:rsidR="00000000" w:rsidDel="00000000" w:rsidP="00000000" w:rsidRDefault="00000000" w:rsidRPr="00000000" w14:paraId="000000FC">
            <w:pPr>
              <w:spacing w:after="0" w:line="240" w:lineRule="auto"/>
              <w:rPr>
                <w:rFonts w:ascii="Arial" w:cs="Arial" w:eastAsia="Arial" w:hAnsi="Arial"/>
                <w:sz w:val="36"/>
                <w:szCs w:val="36"/>
              </w:rPr>
            </w:pPr>
            <w:r w:rsidDel="00000000" w:rsidR="00000000" w:rsidRPr="00000000">
              <w:rPr>
                <w:rFonts w:ascii="Arial" w:cs="Arial" w:eastAsia="Arial" w:hAnsi="Arial"/>
                <w:color w:val="000000"/>
                <w:sz w:val="24"/>
                <w:szCs w:val="24"/>
                <w:rtl w:val="0"/>
              </w:rPr>
              <w:t xml:space="preserve">85 €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2e5fa" w:val="clear"/>
            <w:tcMar>
              <w:top w:w="72.0" w:type="dxa"/>
              <w:left w:w="144.0" w:type="dxa"/>
              <w:bottom w:w="72.0" w:type="dxa"/>
              <w:right w:w="144.0" w:type="dxa"/>
            </w:tcMar>
          </w:tcPr>
          <w:p w:rsidR="00000000" w:rsidDel="00000000" w:rsidP="00000000" w:rsidRDefault="00000000" w:rsidRPr="00000000" w14:paraId="000000FD">
            <w:pPr>
              <w:spacing w:after="0" w:line="240" w:lineRule="auto"/>
              <w:rPr>
                <w:rFonts w:ascii="Arial" w:cs="Arial" w:eastAsia="Arial" w:hAnsi="Arial"/>
                <w:sz w:val="36"/>
                <w:szCs w:val="36"/>
              </w:rPr>
            </w:pPr>
            <w:r w:rsidDel="00000000" w:rsidR="00000000" w:rsidRPr="00000000">
              <w:rPr>
                <w:rFonts w:ascii="Arial" w:cs="Arial" w:eastAsia="Arial" w:hAnsi="Arial"/>
                <w:color w:val="000000"/>
                <w:sz w:val="24"/>
                <w:szCs w:val="24"/>
                <w:rtl w:val="0"/>
              </w:rPr>
              <w:t xml:space="preserve">3 001 units and above</w:t>
            </w:r>
            <w:r w:rsidDel="00000000" w:rsidR="00000000" w:rsidRPr="00000000">
              <w:rPr>
                <w:rtl w:val="0"/>
              </w:rPr>
            </w:r>
          </w:p>
        </w:tc>
      </w:tr>
    </w:tbl>
    <w:p w:rsidR="00000000" w:rsidDel="00000000" w:rsidP="00000000" w:rsidRDefault="00000000" w:rsidRPr="00000000" w14:paraId="000000FE">
      <w:pPr>
        <w:jc w:val="both"/>
        <w:rPr>
          <w:sz w:val="24"/>
          <w:szCs w:val="24"/>
          <w:u w:val="single"/>
        </w:rPr>
      </w:pPr>
      <w:r w:rsidDel="00000000" w:rsidR="00000000" w:rsidRPr="00000000">
        <w:rPr>
          <w:rtl w:val="0"/>
        </w:rPr>
      </w:r>
    </w:p>
    <w:p w:rsidR="00000000" w:rsidDel="00000000" w:rsidP="00000000" w:rsidRDefault="00000000" w:rsidRPr="00000000" w14:paraId="000000FF">
      <w:pPr>
        <w:jc w:val="both"/>
        <w:rPr>
          <w:sz w:val="24"/>
          <w:szCs w:val="24"/>
        </w:rPr>
      </w:pPr>
      <w:r w:rsidDel="00000000" w:rsidR="00000000" w:rsidRPr="00000000">
        <w:rPr>
          <w:sz w:val="24"/>
          <w:szCs w:val="24"/>
          <w:rtl w:val="0"/>
        </w:rPr>
        <w:t xml:space="preserve">We believe we will sell 2 500 units for the year 20X8, based on our experience with this customer and forecasted sales.  </w:t>
      </w:r>
    </w:p>
    <w:p w:rsidR="00000000" w:rsidDel="00000000" w:rsidP="00000000" w:rsidRDefault="00000000" w:rsidRPr="00000000" w14:paraId="00000100">
      <w:pPr>
        <w:jc w:val="both"/>
        <w:rPr>
          <w:sz w:val="24"/>
          <w:szCs w:val="24"/>
        </w:rPr>
      </w:pPr>
      <w:r w:rsidDel="00000000" w:rsidR="00000000" w:rsidRPr="00000000">
        <w:rPr>
          <w:sz w:val="24"/>
          <w:szCs w:val="24"/>
          <w:rtl w:val="0"/>
        </w:rPr>
        <w:t xml:space="preserve">Transaction price:</w:t>
      </w:r>
    </w:p>
    <w:p w:rsidR="00000000" w:rsidDel="00000000" w:rsidP="00000000" w:rsidRDefault="00000000" w:rsidRPr="00000000" w14:paraId="00000101">
      <w:pPr>
        <w:jc w:val="both"/>
        <w:rPr>
          <w:sz w:val="24"/>
          <w:szCs w:val="24"/>
        </w:rPr>
      </w:pPr>
      <w:r w:rsidDel="00000000" w:rsidR="00000000" w:rsidRPr="00000000">
        <w:rPr>
          <w:sz w:val="24"/>
          <w:szCs w:val="24"/>
          <w:rtl w:val="0"/>
        </w:rPr>
        <w:t xml:space="preserve">100 € x 1 000 units = </w:t>
        <w:tab/>
        <w:tab/>
        <w:tab/>
        <w:t xml:space="preserve">100 000 €</w:t>
      </w:r>
    </w:p>
    <w:p w:rsidR="00000000" w:rsidDel="00000000" w:rsidP="00000000" w:rsidRDefault="00000000" w:rsidRPr="00000000" w14:paraId="00000102">
      <w:pPr>
        <w:jc w:val="both"/>
        <w:rPr>
          <w:sz w:val="24"/>
          <w:szCs w:val="24"/>
        </w:rPr>
      </w:pPr>
      <w:r w:rsidDel="00000000" w:rsidR="00000000" w:rsidRPr="00000000">
        <w:rPr>
          <w:sz w:val="24"/>
          <w:szCs w:val="24"/>
          <w:rtl w:val="0"/>
        </w:rPr>
        <w:t xml:space="preserve">90 € x 1 500 units = </w:t>
        <w:tab/>
        <w:tab/>
      </w:r>
      <w:r w:rsidDel="00000000" w:rsidR="00000000" w:rsidRPr="00000000">
        <w:rPr>
          <w:sz w:val="24"/>
          <w:szCs w:val="24"/>
          <w:u w:val="single"/>
          <w:rtl w:val="0"/>
        </w:rPr>
        <w:tab/>
        <w:t xml:space="preserve">135 000 €</w:t>
      </w:r>
      <w:r w:rsidDel="00000000" w:rsidR="00000000" w:rsidRPr="00000000">
        <w:rPr>
          <w:rtl w:val="0"/>
        </w:rPr>
      </w:r>
    </w:p>
    <w:p w:rsidR="00000000" w:rsidDel="00000000" w:rsidP="00000000" w:rsidRDefault="00000000" w:rsidRPr="00000000" w14:paraId="00000103">
      <w:pPr>
        <w:jc w:val="both"/>
        <w:rPr>
          <w:sz w:val="24"/>
          <w:szCs w:val="24"/>
        </w:rPr>
      </w:pPr>
      <w:r w:rsidDel="00000000" w:rsidR="00000000" w:rsidRPr="00000000">
        <w:rPr>
          <w:sz w:val="24"/>
          <w:szCs w:val="24"/>
          <w:rtl w:val="0"/>
        </w:rPr>
        <w:tab/>
        <w:tab/>
        <w:tab/>
        <w:tab/>
        <w:tab/>
        <w:t xml:space="preserve">235 000 €</w:t>
      </w:r>
    </w:p>
    <w:p w:rsidR="00000000" w:rsidDel="00000000" w:rsidP="00000000" w:rsidRDefault="00000000" w:rsidRPr="00000000" w14:paraId="00000104">
      <w:pPr>
        <w:jc w:val="both"/>
        <w:rPr>
          <w:sz w:val="24"/>
          <w:szCs w:val="24"/>
        </w:rPr>
      </w:pPr>
      <w:r w:rsidDel="00000000" w:rsidR="00000000" w:rsidRPr="00000000">
        <w:rPr>
          <w:sz w:val="24"/>
          <w:szCs w:val="24"/>
          <w:rtl w:val="0"/>
        </w:rPr>
        <w:t xml:space="preserve">Average price per unit as a basis for revenue recognition: 235 000 € / 2 500 units = 94 € per unit.</w:t>
      </w:r>
    </w:p>
    <w:p w:rsidR="00000000" w:rsidDel="00000000" w:rsidP="00000000" w:rsidRDefault="00000000" w:rsidRPr="00000000" w14:paraId="00000105">
      <w:pPr>
        <w:pStyle w:val="Heading4"/>
        <w:numPr>
          <w:ilvl w:val="0"/>
          <w:numId w:val="12"/>
        </w:numPr>
        <w:ind w:left="0" w:firstLine="284"/>
        <w:rPr/>
      </w:pPr>
      <w:r w:rsidDel="00000000" w:rsidR="00000000" w:rsidRPr="00000000">
        <w:rPr>
          <w:rtl w:val="0"/>
        </w:rPr>
        <w:t xml:space="preserve">Significant financing component – if payment terms exceed 12 months</w:t>
      </w:r>
    </w:p>
    <w:p w:rsidR="00000000" w:rsidDel="00000000" w:rsidP="00000000" w:rsidRDefault="00000000" w:rsidRPr="00000000" w14:paraId="00000106">
      <w:pPr>
        <w:jc w:val="both"/>
        <w:rPr>
          <w:sz w:val="24"/>
          <w:szCs w:val="24"/>
        </w:rPr>
      </w:pPr>
      <w:r w:rsidDel="00000000" w:rsidR="00000000" w:rsidRPr="00000000">
        <w:rPr>
          <w:sz w:val="24"/>
          <w:szCs w:val="24"/>
          <w:rtl w:val="0"/>
        </w:rPr>
        <w:t xml:space="preserve">As a practical expedient, adjustments for the effects of a significant financing component only apply if the entity expects at contract inception that the period between (a) the point at which the entity recognizes revenue and (b) the date of payment from the customer will be one year or less.  </w:t>
      </w:r>
    </w:p>
    <w:p w:rsidR="00000000" w:rsidDel="00000000" w:rsidP="00000000" w:rsidRDefault="00000000" w:rsidRPr="00000000" w14:paraId="00000107">
      <w:pPr>
        <w:jc w:val="both"/>
        <w:rPr>
          <w:sz w:val="24"/>
          <w:szCs w:val="24"/>
        </w:rPr>
      </w:pPr>
      <w:r w:rsidDel="00000000" w:rsidR="00000000" w:rsidRPr="00000000">
        <w:rPr>
          <w:sz w:val="24"/>
          <w:szCs w:val="24"/>
          <w:rtl w:val="0"/>
        </w:rPr>
        <w:t xml:space="preserve">If the timing of payments provides the customer or the vendor with a significant benefit of financing the transfer of goods or services, the transaction price is adjusted to reflect this financing component.  When the customer pays in arrears, the entity is effectively providing financing to the customer.  Conversely, when the customer pays in advance, the entity has effectively received financing from the customer.</w:t>
      </w:r>
    </w:p>
    <w:p w:rsidR="00000000" w:rsidDel="00000000" w:rsidP="00000000" w:rsidRDefault="00000000" w:rsidRPr="00000000" w14:paraId="00000108">
      <w:pPr>
        <w:jc w:val="both"/>
        <w:rPr>
          <w:sz w:val="24"/>
          <w:szCs w:val="24"/>
        </w:rPr>
      </w:pPr>
      <w:r w:rsidDel="00000000" w:rsidR="00000000" w:rsidRPr="00000000">
        <w:rPr>
          <w:sz w:val="24"/>
          <w:szCs w:val="24"/>
          <w:rtl w:val="0"/>
        </w:rPr>
        <w:t xml:space="preserve">An entity shall adjust the promised consideration for the effects of the time value of money, using the discount rate that would be reflected in a separate financing transaction between the entity and its customer at contract inception.  The financing component of the transaction price is recognized as interest expense (when the customer pays in advance), or interest income (when the customer pays in arrears).  </w:t>
      </w:r>
    </w:p>
    <w:p w:rsidR="00000000" w:rsidDel="00000000" w:rsidP="00000000" w:rsidRDefault="00000000" w:rsidRPr="00000000" w14:paraId="00000109">
      <w:pPr>
        <w:pStyle w:val="Heading4"/>
        <w:numPr>
          <w:ilvl w:val="0"/>
          <w:numId w:val="12"/>
        </w:numPr>
        <w:ind w:left="0" w:firstLine="142"/>
        <w:rPr/>
      </w:pPr>
      <w:r w:rsidDel="00000000" w:rsidR="00000000" w:rsidRPr="00000000">
        <w:rPr>
          <w:rtl w:val="0"/>
        </w:rPr>
        <w:t xml:space="preserve">Consideration payable </w:t>
      </w:r>
      <w:r w:rsidDel="00000000" w:rsidR="00000000" w:rsidRPr="00000000">
        <w:rPr>
          <w:u w:val="single"/>
          <w:rtl w:val="0"/>
        </w:rPr>
        <w:t xml:space="preserve">to</w:t>
      </w:r>
      <w:r w:rsidDel="00000000" w:rsidR="00000000" w:rsidRPr="00000000">
        <w:rPr>
          <w:rtl w:val="0"/>
        </w:rPr>
        <w:t xml:space="preserve"> a customer</w:t>
      </w:r>
    </w:p>
    <w:p w:rsidR="00000000" w:rsidDel="00000000" w:rsidP="00000000" w:rsidRDefault="00000000" w:rsidRPr="00000000" w14:paraId="0000010A">
      <w:pPr>
        <w:jc w:val="both"/>
        <w:rPr>
          <w:sz w:val="24"/>
          <w:szCs w:val="24"/>
        </w:rPr>
      </w:pPr>
      <w:r w:rsidDel="00000000" w:rsidR="00000000" w:rsidRPr="00000000">
        <w:rPr>
          <w:sz w:val="24"/>
          <w:szCs w:val="24"/>
          <w:rtl w:val="0"/>
        </w:rPr>
        <w:t xml:space="preserve">Consideration payable to a customer includes cash amounts that a vendor pays, or expects to pay, to a customer.  It can relate to credits or other items such as coupons or vouchers that can be applied against amounts owed to the vendor, but it can also relate to compensation for costs incurred by the customer (such as marketing expenses).  </w:t>
      </w:r>
    </w:p>
    <w:p w:rsidR="00000000" w:rsidDel="00000000" w:rsidP="00000000" w:rsidRDefault="00000000" w:rsidRPr="00000000" w14:paraId="0000010B">
      <w:pPr>
        <w:jc w:val="both"/>
        <w:rPr>
          <w:sz w:val="24"/>
          <w:szCs w:val="24"/>
        </w:rPr>
      </w:pPr>
      <w:r w:rsidDel="00000000" w:rsidR="00000000" w:rsidRPr="00000000">
        <w:rPr>
          <w:sz w:val="24"/>
          <w:szCs w:val="24"/>
          <w:rtl w:val="0"/>
        </w:rPr>
        <w:t xml:space="preserve">Consideration payable to a customer is accounted for as a reduction of the transaction price (and hence, a reduction of revenue), unless the payment to the customer is in exchange for a distinct good or service that the customer transfers to the entity.  In this case, Syensqo will account for the consideration in the same way that it accounts for other purchases from suppliers if the consideration paid corresponds to the fair value.</w:t>
      </w:r>
    </w:p>
    <w:p w:rsidR="00000000" w:rsidDel="00000000" w:rsidP="00000000" w:rsidRDefault="00000000" w:rsidRPr="00000000" w14:paraId="0000010C">
      <w:pPr>
        <w:pStyle w:val="Subtitle"/>
        <w:rPr/>
      </w:pPr>
      <w:r w:rsidDel="00000000" w:rsidR="00000000" w:rsidRPr="00000000">
        <w:rPr>
          <w:rtl w:val="0"/>
        </w:rPr>
        <w:t xml:space="preserve">In practice</w:t>
      </w:r>
    </w:p>
    <w:p w:rsidR="00000000" w:rsidDel="00000000" w:rsidP="00000000" w:rsidRDefault="00000000" w:rsidRPr="00000000" w14:paraId="0000010D">
      <w:pPr>
        <w:numPr>
          <w:ilvl w:val="0"/>
          <w:numId w:val="33"/>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Payment of commissions to distributor based on sales made by them: depending on the nature of the service performed, part of the commission could be treated as a rebate (i.e. presented as a deduction from revenue) or rather as operating expenses.  An example of operating expense could relate to marketing services the distributor performs on our behalf. Further analysis on the substance of the commissions is required to support their presentation.</w:t>
      </w:r>
    </w:p>
    <w:p w:rsidR="00000000" w:rsidDel="00000000" w:rsidP="00000000" w:rsidRDefault="00000000" w:rsidRPr="00000000" w14:paraId="0000010E">
      <w:pPr>
        <w:numPr>
          <w:ilvl w:val="0"/>
          <w:numId w:val="33"/>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Upfront, the vendor funds a part of the customer’s investment in a production asset, which is required to make use of the vendor’s products: in this case, the vendor generally doesn’t obtain control of a distinct item, and the payment is initially presented as a prepaid, and will be recognized as a deduction from revenue over the non-cancelable term of the sales agreement. </w:t>
      </w:r>
    </w:p>
    <w:p w:rsidR="00000000" w:rsidDel="00000000" w:rsidP="00000000" w:rsidRDefault="00000000" w:rsidRPr="00000000" w14:paraId="0000010F">
      <w:pPr>
        <w:numPr>
          <w:ilvl w:val="0"/>
          <w:numId w:val="33"/>
        </w:numPr>
        <w:pBdr>
          <w:top w:space="0" w:sz="0" w:val="nil"/>
          <w:left w:space="0" w:sz="0" w:val="nil"/>
          <w:bottom w:space="0" w:sz="0" w:val="nil"/>
          <w:right w:space="0" w:sz="0" w:val="nil"/>
          <w:between w:space="0" w:sz="0" w:val="nil"/>
        </w:pBdr>
        <w:spacing w:after="0" w:lineRule="auto"/>
        <w:ind w:left="720" w:hanging="360"/>
        <w:jc w:val="both"/>
        <w:rPr>
          <w:color w:val="000000"/>
          <w:sz w:val="24"/>
          <w:szCs w:val="24"/>
        </w:rPr>
      </w:pPr>
      <w:r w:rsidDel="00000000" w:rsidR="00000000" w:rsidRPr="00000000">
        <w:rPr>
          <w:color w:val="000000"/>
          <w:sz w:val="24"/>
          <w:szCs w:val="24"/>
          <w:rtl w:val="0"/>
        </w:rPr>
        <w:t xml:space="preserve">Upfront, the customer incurs costs related to his supply contract with the vendor and the vendor reimburses the customer for those costs.  The vendor does obtain control of a separate item (eg the vendor controls the production asset, or obtains a service from the customer that has stand-alone value). Amounts paid by the vendor to the customer are either expensed (if service) or capitalized (if the vendor obtains control over the asset).</w:t>
      </w:r>
    </w:p>
    <w:p w:rsidR="00000000" w:rsidDel="00000000" w:rsidP="00000000" w:rsidRDefault="00000000" w:rsidRPr="00000000" w14:paraId="00000110">
      <w:pPr>
        <w:numPr>
          <w:ilvl w:val="0"/>
          <w:numId w:val="33"/>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color w:val="000000"/>
          <w:sz w:val="24"/>
          <w:szCs w:val="24"/>
          <w:rtl w:val="0"/>
        </w:rPr>
        <w:t xml:space="preserve">Prepayment made in the framework of a tolling/capacity/take-or-pay agreement: the question raised is whether this prepayment shall be recognized as an intangible, and therefore be amortized/recycled below EBITDA, or as an advance payment, and therefore be recycled in EBITDA.  In order to recognize an intangible on our balance sheet, we have to obtain a contractual right that provides us with control over the intangible item. Examples: licenses, patents or intellectual property. On the other hand, we recognize an advance payment when we make a prepayment on a contract, but without giving us control over an intangible item.  Therefore, in the case of a prepayment made in the framework of a tolling/capacity/take-or-pay agreement that is not a lease, the prepayment shall be recognized as an advance payment, as it does not provide us with control over an intangible asset.  This advance payment has to be recycled in EBITDA (deduction from revenue) over the duration of the agreement.</w:t>
      </w:r>
    </w:p>
    <w:p w:rsidR="00000000" w:rsidDel="00000000" w:rsidP="00000000" w:rsidRDefault="00000000" w:rsidRPr="00000000" w14:paraId="00000111">
      <w:pPr>
        <w:pStyle w:val="Heading4"/>
        <w:numPr>
          <w:ilvl w:val="0"/>
          <w:numId w:val="12"/>
        </w:numPr>
        <w:ind w:left="0" w:firstLine="284"/>
        <w:rPr/>
      </w:pPr>
      <w:r w:rsidDel="00000000" w:rsidR="00000000" w:rsidRPr="00000000">
        <w:rPr>
          <w:rtl w:val="0"/>
        </w:rPr>
        <w:t xml:space="preserve">Consideration payable to party other than customer</w:t>
      </w:r>
    </w:p>
    <w:p w:rsidR="00000000" w:rsidDel="00000000" w:rsidP="00000000" w:rsidRDefault="00000000" w:rsidRPr="00000000" w14:paraId="00000112">
      <w:pPr>
        <w:jc w:val="both"/>
        <w:rPr>
          <w:sz w:val="24"/>
          <w:szCs w:val="24"/>
        </w:rPr>
      </w:pPr>
      <w:r w:rsidDel="00000000" w:rsidR="00000000" w:rsidRPr="00000000">
        <w:rPr>
          <w:sz w:val="24"/>
          <w:szCs w:val="24"/>
          <w:rtl w:val="0"/>
        </w:rPr>
        <w:t xml:space="preserve">The vendor incurs costs to obtain a contract (legal fees, commissions, etc) paid to a third party. Those costs can qualify as intangible items, in which case they will be amortized over the expected term of the customer contract.</w:t>
      </w:r>
    </w:p>
    <w:p w:rsidR="00000000" w:rsidDel="00000000" w:rsidP="00000000" w:rsidRDefault="00000000" w:rsidRPr="00000000" w14:paraId="00000113">
      <w:pPr>
        <w:pStyle w:val="Heading4"/>
        <w:numPr>
          <w:ilvl w:val="0"/>
          <w:numId w:val="12"/>
        </w:numPr>
        <w:ind w:left="0" w:firstLine="284"/>
        <w:rPr/>
      </w:pPr>
      <w:r w:rsidDel="00000000" w:rsidR="00000000" w:rsidRPr="00000000">
        <w:rPr>
          <w:rtl w:val="0"/>
        </w:rPr>
        <w:t xml:space="preserve">Fees disconnected from the flow of goods</w:t>
      </w:r>
    </w:p>
    <w:p w:rsidR="00000000" w:rsidDel="00000000" w:rsidP="00000000" w:rsidRDefault="00000000" w:rsidRPr="00000000" w14:paraId="00000114">
      <w:pPr>
        <w:rPr>
          <w:b w:val="1"/>
          <w:bCs w:val="1"/>
          <w:i w:val="1"/>
          <w:iCs w:val="1"/>
          <w:color w:val="ff6540"/>
        </w:rPr>
      </w:pPr>
      <w:r w:rsidDel="00000000" w:rsidR="00000000" w:rsidRPr="00000000">
        <w:rPr>
          <w:b w:val="1"/>
          <w:bCs w:val="1"/>
          <w:i w:val="1"/>
          <w:iCs w:val="1"/>
          <w:color w:val="ff6540"/>
          <w:rtl w:val="0"/>
        </w:rPr>
        <w:t xml:space="preserve">Non-refundable upfront fees</w:t>
      </w:r>
    </w:p>
    <w:p w:rsidR="00000000" w:rsidDel="00000000" w:rsidP="00000000" w:rsidRDefault="00000000" w:rsidRPr="00000000" w14:paraId="00000115">
      <w:pPr>
        <w:jc w:val="both"/>
        <w:rPr>
          <w:sz w:val="24"/>
          <w:szCs w:val="24"/>
        </w:rPr>
      </w:pPr>
      <w:r w:rsidDel="00000000" w:rsidR="00000000" w:rsidRPr="00000000">
        <w:rPr>
          <w:sz w:val="24"/>
          <w:szCs w:val="24"/>
          <w:rtl w:val="0"/>
        </w:rPr>
        <w:t xml:space="preserve">Entities may receive payments from customers before they provide the contracted service or deliver a good.  Upfront fees generally relate to the initiation, activation or set-up of a good to be used or a service to be provided in the future.  Upfront fees also may be paid to grant access to or to provide a right to use a facility, product or service.  Entities must evaluate whether non-refundable upfront fees relate to the transfer of a good or service that is distinct from the future sales agreement.  In many situations, an upfront fee represents an advance payment for future goods or services.  In addition, the existence of a non-refundable upfront fee may indicate that the arrangement includes a renewal option for future goods and services at a reduced price (if the customer renews the agreement without the payment of an additional upfront fee).  </w:t>
      </w:r>
    </w:p>
    <w:p w:rsidR="00000000" w:rsidDel="00000000" w:rsidP="00000000" w:rsidRDefault="00000000" w:rsidRPr="00000000" w14:paraId="00000116">
      <w:pPr>
        <w:pStyle w:val="Subtitle"/>
        <w:rPr/>
      </w:pPr>
      <w:r w:rsidDel="00000000" w:rsidR="00000000" w:rsidRPr="00000000">
        <w:rPr>
          <w:rtl w:val="0"/>
        </w:rPr>
        <w:t xml:space="preserve">Example</w:t>
      </w:r>
    </w:p>
    <w:p w:rsidR="00000000" w:rsidDel="00000000" w:rsidP="00000000" w:rsidRDefault="00000000" w:rsidRPr="00000000" w14:paraId="00000117">
      <w:pPr>
        <w:jc w:val="both"/>
        <w:rPr>
          <w:sz w:val="24"/>
          <w:szCs w:val="24"/>
        </w:rPr>
      </w:pPr>
      <w:r w:rsidDel="00000000" w:rsidR="00000000" w:rsidRPr="00000000">
        <w:rPr>
          <w:sz w:val="24"/>
          <w:szCs w:val="24"/>
          <w:rtl w:val="0"/>
        </w:rPr>
        <w:t xml:space="preserve">Syensqo enters into a 2-year contract with a customer, and receives a non-refundable lump sum payment of 2 M€ at signing. </w:t>
      </w:r>
    </w:p>
    <w:p w:rsidR="00000000" w:rsidDel="00000000" w:rsidP="00000000" w:rsidRDefault="00000000" w:rsidRPr="00000000" w14:paraId="00000118">
      <w:pPr>
        <w:jc w:val="both"/>
        <w:rPr>
          <w:sz w:val="24"/>
          <w:szCs w:val="24"/>
        </w:rPr>
      </w:pPr>
      <w:r w:rsidDel="00000000" w:rsidR="00000000" w:rsidRPr="00000000">
        <w:rPr>
          <w:sz w:val="24"/>
          <w:szCs w:val="24"/>
          <w:rtl w:val="0"/>
        </w:rPr>
        <w:t xml:space="preserve">The fees impact revenue when the related goods are sold, meaning the revenue recognition impact is disconnected from the cash impact stemming from the fees. </w:t>
      </w:r>
    </w:p>
    <w:p w:rsidR="00000000" w:rsidDel="00000000" w:rsidP="00000000" w:rsidRDefault="00000000" w:rsidRPr="00000000" w14:paraId="00000119">
      <w:pPr>
        <w:rPr>
          <w:b w:val="1"/>
          <w:bCs w:val="1"/>
          <w:i w:val="1"/>
          <w:iCs w:val="1"/>
          <w:color w:val="ff6540"/>
        </w:rPr>
      </w:pPr>
      <w:r w:rsidDel="00000000" w:rsidR="00000000" w:rsidRPr="00000000">
        <w:rPr>
          <w:b w:val="1"/>
          <w:bCs w:val="1"/>
          <w:i w:val="1"/>
          <w:iCs w:val="1"/>
          <w:color w:val="ff6540"/>
          <w:rtl w:val="0"/>
        </w:rPr>
        <w:t xml:space="preserve">Unavoidable end-of-contract fees</w:t>
      </w:r>
    </w:p>
    <w:p w:rsidR="00000000" w:rsidDel="00000000" w:rsidP="00000000" w:rsidRDefault="00000000" w:rsidRPr="00000000" w14:paraId="0000011A">
      <w:pPr>
        <w:jc w:val="both"/>
        <w:rPr>
          <w:sz w:val="24"/>
          <w:szCs w:val="24"/>
        </w:rPr>
      </w:pPr>
      <w:r w:rsidDel="00000000" w:rsidR="00000000" w:rsidRPr="00000000">
        <w:rPr>
          <w:sz w:val="24"/>
          <w:szCs w:val="24"/>
          <w:rtl w:val="0"/>
        </w:rPr>
        <w:t xml:space="preserve">Entities may be </w:t>
      </w:r>
      <w:r w:rsidDel="00000000" w:rsidR="00000000" w:rsidRPr="00000000">
        <w:rPr>
          <w:i w:val="1"/>
          <w:iCs w:val="1"/>
          <w:sz w:val="24"/>
          <w:szCs w:val="24"/>
          <w:u w:val="single"/>
          <w:rtl w:val="0"/>
        </w:rPr>
        <w:t xml:space="preserve">contractually</w:t>
      </w:r>
      <w:r w:rsidDel="00000000" w:rsidR="00000000" w:rsidRPr="00000000">
        <w:rPr>
          <w:sz w:val="24"/>
          <w:szCs w:val="24"/>
          <w:rtl w:val="0"/>
        </w:rPr>
        <w:t xml:space="preserve"> required to make a payment to a customer at the end of a contract.  Such is not an early termination penalty, but an unavoidable payment to be made to customer at the expiration of a contract.   Given that there would not be any distinct goods or services delivered by the customer to Syensqo at the expiration of the agreement (also see section v above in this respect), this compensation should be considered as a negative price adjustment corresponding to variable consideration on delivery of goods over the contract period.  As such, the termination compensation liability should be recognized over the expected term of the sales agreement, as a decrease of revenue. This expected term of the sales agreement includes renewal periods, assuming the customer has an economic incentive to renew, and has renewed its agreement with the vendor in the past. </w:t>
      </w:r>
    </w:p>
    <w:p w:rsidR="00000000" w:rsidDel="00000000" w:rsidP="00000000" w:rsidRDefault="00000000" w:rsidRPr="00000000" w14:paraId="0000011B">
      <w:pPr>
        <w:jc w:val="both"/>
        <w:rPr>
          <w:sz w:val="24"/>
          <w:szCs w:val="24"/>
        </w:rPr>
      </w:pPr>
      <w:r w:rsidDel="00000000" w:rsidR="00000000" w:rsidRPr="00000000">
        <w:rPr>
          <w:b w:val="1"/>
          <w:bCs w:val="1"/>
          <w:sz w:val="24"/>
          <w:szCs w:val="24"/>
          <w:rtl w:val="0"/>
        </w:rPr>
        <w:t xml:space="preserve">ALERT OF GROUP ACCOUNTING AND REPORTING:</w:t>
      </w:r>
      <w:r w:rsidDel="00000000" w:rsidR="00000000" w:rsidRPr="00000000">
        <w:rPr>
          <w:sz w:val="24"/>
          <w:szCs w:val="24"/>
          <w:rtl w:val="0"/>
        </w:rPr>
        <w:t xml:space="preserve"> Obligations to make end of contract payments in case the vendor decides to terminate the agreement, stemming from </w:t>
      </w:r>
      <w:r w:rsidDel="00000000" w:rsidR="00000000" w:rsidRPr="00000000">
        <w:rPr>
          <w:i w:val="1"/>
          <w:iCs w:val="1"/>
          <w:sz w:val="24"/>
          <w:szCs w:val="24"/>
          <w:u w:val="single"/>
          <w:rtl w:val="0"/>
        </w:rPr>
        <w:t xml:space="preserve">legal</w:t>
      </w:r>
      <w:r w:rsidDel="00000000" w:rsidR="00000000" w:rsidRPr="00000000">
        <w:rPr>
          <w:sz w:val="24"/>
          <w:szCs w:val="24"/>
          <w:rtl w:val="0"/>
        </w:rPr>
        <w:t xml:space="preserve"> requirements, are not recognized unless the vendor has notified the customer of its decision to terminate the agreement. In those cases, for liabilities in excess of M€ 1, please notify GAR. </w:t>
      </w:r>
    </w:p>
    <w:p w:rsidR="00000000" w:rsidDel="00000000" w:rsidP="00000000" w:rsidRDefault="00000000" w:rsidRPr="00000000" w14:paraId="0000011C">
      <w:pPr>
        <w:pStyle w:val="Subtitle"/>
        <w:rPr/>
      </w:pPr>
      <w:r w:rsidDel="00000000" w:rsidR="00000000" w:rsidRPr="00000000">
        <w:rPr>
          <w:rtl w:val="0"/>
        </w:rPr>
        <w:t xml:space="preserve">Example</w:t>
      </w:r>
    </w:p>
    <w:p w:rsidR="00000000" w:rsidDel="00000000" w:rsidP="00000000" w:rsidRDefault="00000000" w:rsidRPr="00000000" w14:paraId="0000011D">
      <w:pPr>
        <w:jc w:val="both"/>
        <w:rPr>
          <w:sz w:val="24"/>
          <w:szCs w:val="24"/>
        </w:rPr>
      </w:pPr>
      <w:r w:rsidDel="00000000" w:rsidR="00000000" w:rsidRPr="00000000">
        <w:rPr>
          <w:sz w:val="24"/>
          <w:szCs w:val="24"/>
          <w:rtl w:val="0"/>
        </w:rPr>
        <w:t xml:space="preserve">Syensqo enters into a 3-year contract with a distributor.  At the expiration of the contract, Syensqo has to pay a compensation corresponding to 2 months of net margin earned by the distributor over the average of 12 months preceding expiry of the agreement.  In this case, when recognizing revenue for goods sold over the term of the contract, Syensqo shall gradually recognize the compensation payable at the expiration of the contract, by reducing its revenue accordingly. Over the term of the agreement, the cumulative obligation recognized (% of total obligation expected to be due at the expiry of the sales agreement) is calculated proportionate to the cumulative revenue recognized to-date (% of total revenue expected over the term of the sales agreement). </w:t>
      </w:r>
    </w:p>
    <w:p w:rsidR="00000000" w:rsidDel="00000000" w:rsidP="00000000" w:rsidRDefault="00000000" w:rsidRPr="00000000" w14:paraId="0000011E">
      <w:pPr>
        <w:pStyle w:val="Heading2"/>
        <w:numPr>
          <w:ilvl w:val="1"/>
          <w:numId w:val="1"/>
        </w:numPr>
        <w:ind w:left="1440" w:hanging="360"/>
        <w:rPr/>
      </w:pPr>
      <w:bookmarkStart w:colFirst="0" w:colLast="0" w:name="_heading=h.aofya4ohrrc5" w:id="12"/>
      <w:bookmarkEnd w:id="12"/>
      <w:r w:rsidDel="00000000" w:rsidR="00000000" w:rsidRPr="00000000">
        <w:rPr>
          <w:rtl w:val="0"/>
        </w:rPr>
        <w:t xml:space="preserve">Step four – Allocate the transaction price to the performance obligations</w:t>
      </w:r>
    </w:p>
    <w:p w:rsidR="00000000" w:rsidDel="00000000" w:rsidP="00000000" w:rsidRDefault="00000000" w:rsidRPr="00000000" w14:paraId="0000011F">
      <w:pPr>
        <w:jc w:val="both"/>
        <w:rPr>
          <w:sz w:val="24"/>
          <w:szCs w:val="24"/>
        </w:rPr>
      </w:pPr>
      <w:r w:rsidDel="00000000" w:rsidR="00000000" w:rsidRPr="00000000">
        <w:rPr>
          <w:sz w:val="24"/>
          <w:szCs w:val="24"/>
          <w:rtl w:val="0"/>
        </w:rPr>
        <w:t xml:space="preserve">In step four, the entity allocates the transaction price to each performance obligation (or distinct good or service) in an amount that depicts the amount of consideration to which the entity expects to be entitled in exchange for transferring the promised goods or services to the customer. The starting point for the allocation is the stand-alone selling price of each performance obligation.  </w:t>
      </w:r>
    </w:p>
    <w:p w:rsidR="00000000" w:rsidDel="00000000" w:rsidP="00000000" w:rsidRDefault="00000000" w:rsidRPr="00000000" w14:paraId="00000120">
      <w:pPr>
        <w:pStyle w:val="Heading3"/>
        <w:numPr>
          <w:ilvl w:val="0"/>
          <w:numId w:val="23"/>
        </w:numPr>
        <w:rPr>
          <w:color w:val="ff6540"/>
        </w:rPr>
      </w:pPr>
      <w:bookmarkStart w:colFirst="0" w:colLast="0" w:name="_heading=h.b12bxfuledq7" w:id="13"/>
      <w:bookmarkEnd w:id="13"/>
      <w:r w:rsidDel="00000000" w:rsidR="00000000" w:rsidRPr="00000000">
        <w:rPr>
          <w:rtl w:val="0"/>
        </w:rPr>
        <w:t xml:space="preserve">Estimate the stand-alone selling prices</w:t>
      </w:r>
      <w:r w:rsidDel="00000000" w:rsidR="00000000" w:rsidRPr="00000000">
        <w:rPr>
          <w:rtl w:val="0"/>
        </w:rPr>
      </w:r>
    </w:p>
    <w:p w:rsidR="00000000" w:rsidDel="00000000" w:rsidP="00000000" w:rsidRDefault="00000000" w:rsidRPr="00000000" w14:paraId="00000121">
      <w:pPr>
        <w:jc w:val="both"/>
        <w:rPr>
          <w:sz w:val="24"/>
          <w:szCs w:val="24"/>
        </w:rPr>
      </w:pPr>
      <w:r w:rsidDel="00000000" w:rsidR="00000000" w:rsidRPr="00000000">
        <w:rPr>
          <w:sz w:val="24"/>
          <w:szCs w:val="24"/>
          <w:rtl w:val="0"/>
        </w:rPr>
        <w:t xml:space="preserve">The stand-alone selling price is the price at which an entity would sell a good or service on a stand-alone basis at contract inception.  The best evidence of a stand-alone selling price is the observable price of a good or service when the entity sells that good or service separately in similar circumstances and to similar customers. If a stand-alone selling price is not directly observable, an entity shall estimate this price.  Suitable methods for estimating the stand-alone selling price:</w:t>
      </w:r>
    </w:p>
    <w:p w:rsidR="00000000" w:rsidDel="00000000" w:rsidP="00000000" w:rsidRDefault="00000000" w:rsidRPr="00000000" w14:paraId="00000122">
      <w:pPr>
        <w:numPr>
          <w:ilvl w:val="0"/>
          <w:numId w:val="29"/>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i w:val="1"/>
          <w:iCs w:val="1"/>
          <w:color w:val="000000"/>
          <w:sz w:val="24"/>
          <w:szCs w:val="24"/>
          <w:u w:val="single"/>
          <w:rtl w:val="0"/>
        </w:rPr>
        <w:t xml:space="preserve">Adjusted market assessment approach (based on external factors)</w:t>
      </w:r>
      <w:r w:rsidDel="00000000" w:rsidR="00000000" w:rsidRPr="00000000">
        <w:rPr>
          <w:color w:val="000000"/>
          <w:sz w:val="24"/>
          <w:szCs w:val="24"/>
          <w:rtl w:val="0"/>
        </w:rPr>
        <w:t xml:space="preserve">: estimating the price that a customer in the particular market would be prepared to pay, which might include referring to prices charged by the entity’s competitors for similar goods or services, and adjusting those prices to reflect the entity’s costs and margins.  </w:t>
      </w:r>
    </w:p>
    <w:p w:rsidR="00000000" w:rsidDel="00000000" w:rsidP="00000000" w:rsidRDefault="00000000" w:rsidRPr="00000000" w14:paraId="00000123">
      <w:pPr>
        <w:numPr>
          <w:ilvl w:val="0"/>
          <w:numId w:val="29"/>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i w:val="1"/>
          <w:iCs w:val="1"/>
          <w:color w:val="000000"/>
          <w:sz w:val="24"/>
          <w:szCs w:val="24"/>
          <w:u w:val="single"/>
          <w:rtl w:val="0"/>
        </w:rPr>
        <w:t xml:space="preserve">Expected cost plus a margin approach (based on internal and external factors)</w:t>
      </w:r>
      <w:r w:rsidDel="00000000" w:rsidR="00000000" w:rsidRPr="00000000">
        <w:rPr>
          <w:color w:val="000000"/>
          <w:sz w:val="24"/>
          <w:szCs w:val="24"/>
          <w:rtl w:val="0"/>
        </w:rPr>
        <w:t xml:space="preserve">: forecast expected costs of satisfying a performance obligation and then add an appropriate margin (that the market would be willing to pay) for that good or service.</w:t>
      </w:r>
    </w:p>
    <w:p w:rsidR="00000000" w:rsidDel="00000000" w:rsidP="00000000" w:rsidRDefault="00000000" w:rsidRPr="00000000" w14:paraId="00000124">
      <w:pPr>
        <w:numPr>
          <w:ilvl w:val="0"/>
          <w:numId w:val="29"/>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i w:val="1"/>
          <w:iCs w:val="1"/>
          <w:color w:val="000000"/>
          <w:sz w:val="24"/>
          <w:szCs w:val="24"/>
          <w:u w:val="single"/>
          <w:rtl w:val="0"/>
        </w:rPr>
        <w:t xml:space="preserve">Residual approach</w:t>
      </w:r>
      <w:r w:rsidDel="00000000" w:rsidR="00000000" w:rsidRPr="00000000">
        <w:rPr>
          <w:color w:val="000000"/>
          <w:sz w:val="24"/>
          <w:szCs w:val="24"/>
          <w:rtl w:val="0"/>
        </w:rPr>
        <w:t xml:space="preserve">: estimate the stand-alone selling price by reference to the total transaction price less the sum of the observable stand-alone selling prices of other goods or services promised in the contract. The remainder of the transaction price is allocated to the good or service for which an estimate could not reasonably be made. This method is only allowed if the selling price is highly variable of uncertain.    </w:t>
      </w:r>
    </w:p>
    <w:p w:rsidR="00000000" w:rsidDel="00000000" w:rsidP="00000000" w:rsidRDefault="00000000" w:rsidRPr="00000000" w14:paraId="00000125">
      <w:pPr>
        <w:pStyle w:val="Heading3"/>
        <w:numPr>
          <w:ilvl w:val="0"/>
          <w:numId w:val="23"/>
        </w:numPr>
        <w:ind w:left="426" w:hanging="360"/>
        <w:rPr/>
      </w:pPr>
      <w:bookmarkStart w:colFirst="0" w:colLast="0" w:name="_heading=h.e38o2ukbrhx8" w:id="14"/>
      <w:bookmarkEnd w:id="14"/>
      <w:r w:rsidDel="00000000" w:rsidR="00000000" w:rsidRPr="00000000">
        <w:rPr>
          <w:rtl w:val="0"/>
        </w:rPr>
        <w:t xml:space="preserve">Allocate the transaction price </w:t>
      </w:r>
    </w:p>
    <w:p w:rsidR="00000000" w:rsidDel="00000000" w:rsidP="00000000" w:rsidRDefault="00000000" w:rsidRPr="00000000" w14:paraId="00000126">
      <w:pPr>
        <w:jc w:val="both"/>
        <w:rPr>
          <w:sz w:val="24"/>
          <w:szCs w:val="24"/>
        </w:rPr>
      </w:pPr>
      <w:r w:rsidDel="00000000" w:rsidR="00000000" w:rsidRPr="00000000">
        <w:rPr>
          <w:sz w:val="24"/>
          <w:szCs w:val="24"/>
          <w:rtl w:val="0"/>
        </w:rPr>
        <w:t xml:space="preserve">Once the entity has determined the stand-alone selling price for the separate goods and services, the entity allocates the transaction price to those performance obligations.  The transaction price is allocated to each separate performance obligation based on the proportion of the stand-alone selling price of each performance obligation to the sum of the stand-alone selling prices of all of the performance obligations in the arrangement.  </w:t>
      </w:r>
    </w:p>
    <w:p w:rsidR="00000000" w:rsidDel="00000000" w:rsidP="00000000" w:rsidRDefault="00000000" w:rsidRPr="00000000" w14:paraId="00000127">
      <w:pPr>
        <w:pStyle w:val="Heading3"/>
        <w:numPr>
          <w:ilvl w:val="0"/>
          <w:numId w:val="23"/>
        </w:numPr>
        <w:ind w:left="426" w:hanging="360"/>
        <w:rPr/>
      </w:pPr>
      <w:bookmarkStart w:colFirst="0" w:colLast="0" w:name="_heading=h.f71uj5vg2xoc" w:id="15"/>
      <w:bookmarkEnd w:id="15"/>
      <w:r w:rsidDel="00000000" w:rsidR="00000000" w:rsidRPr="00000000">
        <w:rPr>
          <w:rtl w:val="0"/>
        </w:rPr>
        <w:t xml:space="preserve">Exception to the relative stand-alone selling price allocation: allocation of a discount</w:t>
      </w:r>
    </w:p>
    <w:p w:rsidR="00000000" w:rsidDel="00000000" w:rsidP="00000000" w:rsidRDefault="00000000" w:rsidRPr="00000000" w14:paraId="00000128">
      <w:pPr>
        <w:jc w:val="both"/>
        <w:rPr>
          <w:sz w:val="24"/>
          <w:szCs w:val="24"/>
        </w:rPr>
      </w:pPr>
      <w:r w:rsidDel="00000000" w:rsidR="00000000" w:rsidRPr="00000000">
        <w:rPr>
          <w:sz w:val="24"/>
          <w:szCs w:val="24"/>
          <w:rtl w:val="0"/>
        </w:rPr>
        <w:t xml:space="preserve">This exception allows variable consideration to be allocated entirely to one or more (but not all) performance obligations in the contract.  </w:t>
      </w:r>
    </w:p>
    <w:p w:rsidR="00000000" w:rsidDel="00000000" w:rsidP="00000000" w:rsidRDefault="00000000" w:rsidRPr="00000000" w14:paraId="00000129">
      <w:pPr>
        <w:jc w:val="both"/>
        <w:rPr>
          <w:sz w:val="24"/>
          <w:szCs w:val="24"/>
        </w:rPr>
      </w:pPr>
      <w:r w:rsidDel="00000000" w:rsidR="00000000" w:rsidRPr="00000000">
        <w:rPr>
          <w:sz w:val="24"/>
          <w:szCs w:val="24"/>
          <w:rtl w:val="0"/>
        </w:rPr>
        <w:t xml:space="preserve">A discount exists if the sum of the stand-alone selling prices of the goods or services in the contract exceeds the consideration payable by the customer.  </w:t>
      </w:r>
    </w:p>
    <w:p w:rsidR="00000000" w:rsidDel="00000000" w:rsidP="00000000" w:rsidRDefault="00000000" w:rsidRPr="00000000" w14:paraId="0000012A">
      <w:pPr>
        <w:jc w:val="both"/>
        <w:rPr>
          <w:sz w:val="24"/>
          <w:szCs w:val="24"/>
        </w:rPr>
      </w:pPr>
      <w:r w:rsidDel="00000000" w:rsidR="00000000" w:rsidRPr="00000000">
        <w:rPr>
          <w:sz w:val="24"/>
          <w:szCs w:val="24"/>
          <w:rtl w:val="0"/>
        </w:rPr>
        <w:t xml:space="preserve">In principle, a discount is allocated proportionately to all performance obligations in the contract, unless there is evidence that the discount is attributable to only some performance obligations in a contract.  If this is the case, the entity allocates the discount to the goods or services to which it relates.</w:t>
      </w:r>
    </w:p>
    <w:p w:rsidR="00000000" w:rsidDel="00000000" w:rsidP="00000000" w:rsidRDefault="00000000" w:rsidRPr="00000000" w14:paraId="0000012B">
      <w:pPr>
        <w:pStyle w:val="Subtitle"/>
        <w:rPr/>
      </w:pPr>
      <w:r w:rsidDel="00000000" w:rsidR="00000000" w:rsidRPr="00000000">
        <w:rPr>
          <w:rtl w:val="0"/>
        </w:rPr>
        <w:t xml:space="preserve">Example</w:t>
      </w:r>
    </w:p>
    <w:p w:rsidR="00000000" w:rsidDel="00000000" w:rsidP="00000000" w:rsidRDefault="00000000" w:rsidRPr="00000000" w14:paraId="0000012C">
      <w:pPr>
        <w:jc w:val="both"/>
        <w:rPr>
          <w:sz w:val="24"/>
          <w:szCs w:val="24"/>
        </w:rPr>
      </w:pPr>
      <w:r w:rsidDel="00000000" w:rsidR="00000000" w:rsidRPr="00000000">
        <w:rPr>
          <w:sz w:val="24"/>
          <w:szCs w:val="24"/>
          <w:rtl w:val="0"/>
        </w:rPr>
        <w:t xml:space="preserve">Syensqo regularly sells Products A, B and C individually, thereby establishing the following stand-alone selling prices:</w:t>
      </w:r>
    </w:p>
    <w:tbl>
      <w:tblPr>
        <w:tblStyle w:val="Table4"/>
        <w:tblW w:w="9356.0" w:type="dxa"/>
        <w:jc w:val="left"/>
        <w:tblInd w:w="108.0" w:type="dxa"/>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4811"/>
        <w:gridCol w:w="4545"/>
        <w:tblGridChange w:id="0">
          <w:tblGrid>
            <w:gridCol w:w="4811"/>
            <w:gridCol w:w="4545"/>
          </w:tblGrid>
        </w:tblGridChange>
      </w:tblGrid>
      <w:tr>
        <w:trPr>
          <w:cantSplit w:val="0"/>
          <w:tblHeader w:val="0"/>
        </w:trPr>
        <w:tc>
          <w:tcPr/>
          <w:p w:rsidR="00000000" w:rsidDel="00000000" w:rsidP="00000000" w:rsidRDefault="00000000" w:rsidRPr="00000000" w14:paraId="0000012D">
            <w:pPr>
              <w:jc w:val="both"/>
              <w:rPr>
                <w:b w:val="1"/>
                <w:bCs w:val="1"/>
                <w:sz w:val="24"/>
                <w:szCs w:val="24"/>
              </w:rPr>
            </w:pPr>
            <w:r w:rsidDel="00000000" w:rsidR="00000000" w:rsidRPr="00000000">
              <w:rPr>
                <w:b w:val="1"/>
                <w:bCs w:val="1"/>
                <w:sz w:val="24"/>
                <w:szCs w:val="24"/>
                <w:rtl w:val="0"/>
              </w:rPr>
              <w:t xml:space="preserve">Product</w:t>
            </w:r>
          </w:p>
        </w:tc>
        <w:tc>
          <w:tcPr/>
          <w:p w:rsidR="00000000" w:rsidDel="00000000" w:rsidP="00000000" w:rsidRDefault="00000000" w:rsidRPr="00000000" w14:paraId="0000012E">
            <w:pPr>
              <w:jc w:val="both"/>
              <w:rPr>
                <w:b w:val="1"/>
                <w:bCs w:val="1"/>
                <w:sz w:val="24"/>
                <w:szCs w:val="24"/>
              </w:rPr>
            </w:pPr>
            <w:r w:rsidDel="00000000" w:rsidR="00000000" w:rsidRPr="00000000">
              <w:rPr>
                <w:b w:val="1"/>
                <w:bCs w:val="1"/>
                <w:sz w:val="24"/>
                <w:szCs w:val="24"/>
                <w:rtl w:val="0"/>
              </w:rPr>
              <w:t xml:space="preserve">Stand-alone selling price (€)</w:t>
            </w:r>
          </w:p>
        </w:tc>
      </w:tr>
      <w:tr>
        <w:trPr>
          <w:cantSplit w:val="0"/>
          <w:tblHeader w:val="0"/>
        </w:trPr>
        <w:tc>
          <w:tcPr/>
          <w:p w:rsidR="00000000" w:rsidDel="00000000" w:rsidP="00000000" w:rsidRDefault="00000000" w:rsidRPr="00000000" w14:paraId="0000012F">
            <w:pPr>
              <w:jc w:val="both"/>
              <w:rPr>
                <w:sz w:val="24"/>
                <w:szCs w:val="24"/>
              </w:rPr>
            </w:pPr>
            <w:r w:rsidDel="00000000" w:rsidR="00000000" w:rsidRPr="00000000">
              <w:rPr>
                <w:sz w:val="24"/>
                <w:szCs w:val="24"/>
                <w:rtl w:val="0"/>
              </w:rPr>
              <w:t xml:space="preserve">Product A</w:t>
            </w:r>
          </w:p>
        </w:tc>
        <w:tc>
          <w:tcPr/>
          <w:p w:rsidR="00000000" w:rsidDel="00000000" w:rsidP="00000000" w:rsidRDefault="00000000" w:rsidRPr="00000000" w14:paraId="00000130">
            <w:pPr>
              <w:jc w:val="both"/>
              <w:rPr>
                <w:sz w:val="24"/>
                <w:szCs w:val="24"/>
              </w:rPr>
            </w:pPr>
            <w:r w:rsidDel="00000000" w:rsidR="00000000" w:rsidRPr="00000000">
              <w:rPr>
                <w:sz w:val="24"/>
                <w:szCs w:val="24"/>
                <w:rtl w:val="0"/>
              </w:rPr>
              <w:t xml:space="preserve">40</w:t>
            </w:r>
          </w:p>
        </w:tc>
      </w:tr>
      <w:tr>
        <w:trPr>
          <w:cantSplit w:val="0"/>
          <w:tblHeader w:val="0"/>
        </w:trPr>
        <w:tc>
          <w:tcPr/>
          <w:p w:rsidR="00000000" w:rsidDel="00000000" w:rsidP="00000000" w:rsidRDefault="00000000" w:rsidRPr="00000000" w14:paraId="00000131">
            <w:pPr>
              <w:jc w:val="both"/>
              <w:rPr>
                <w:sz w:val="24"/>
                <w:szCs w:val="24"/>
              </w:rPr>
            </w:pPr>
            <w:r w:rsidDel="00000000" w:rsidR="00000000" w:rsidRPr="00000000">
              <w:rPr>
                <w:sz w:val="24"/>
                <w:szCs w:val="24"/>
                <w:rtl w:val="0"/>
              </w:rPr>
              <w:t xml:space="preserve">Product B</w:t>
            </w:r>
          </w:p>
        </w:tc>
        <w:tc>
          <w:tcPr/>
          <w:p w:rsidR="00000000" w:rsidDel="00000000" w:rsidP="00000000" w:rsidRDefault="00000000" w:rsidRPr="00000000" w14:paraId="00000132">
            <w:pPr>
              <w:jc w:val="both"/>
              <w:rPr>
                <w:sz w:val="24"/>
                <w:szCs w:val="24"/>
              </w:rPr>
            </w:pPr>
            <w:r w:rsidDel="00000000" w:rsidR="00000000" w:rsidRPr="00000000">
              <w:rPr>
                <w:sz w:val="24"/>
                <w:szCs w:val="24"/>
                <w:rtl w:val="0"/>
              </w:rPr>
              <w:t xml:space="preserve">55</w:t>
            </w:r>
          </w:p>
        </w:tc>
      </w:tr>
      <w:tr>
        <w:trPr>
          <w:cantSplit w:val="0"/>
          <w:tblHeader w:val="0"/>
        </w:trPr>
        <w:tc>
          <w:tcPr/>
          <w:p w:rsidR="00000000" w:rsidDel="00000000" w:rsidP="00000000" w:rsidRDefault="00000000" w:rsidRPr="00000000" w14:paraId="00000133">
            <w:pPr>
              <w:jc w:val="both"/>
              <w:rPr>
                <w:sz w:val="24"/>
                <w:szCs w:val="24"/>
              </w:rPr>
            </w:pPr>
            <w:r w:rsidDel="00000000" w:rsidR="00000000" w:rsidRPr="00000000">
              <w:rPr>
                <w:sz w:val="24"/>
                <w:szCs w:val="24"/>
                <w:rtl w:val="0"/>
              </w:rPr>
              <w:t xml:space="preserve">Product C</w:t>
            </w:r>
          </w:p>
        </w:tc>
        <w:tc>
          <w:tcPr/>
          <w:p w:rsidR="00000000" w:rsidDel="00000000" w:rsidP="00000000" w:rsidRDefault="00000000" w:rsidRPr="00000000" w14:paraId="00000134">
            <w:pPr>
              <w:jc w:val="both"/>
              <w:rPr>
                <w:sz w:val="24"/>
                <w:szCs w:val="24"/>
              </w:rPr>
            </w:pPr>
            <w:r w:rsidDel="00000000" w:rsidR="00000000" w:rsidRPr="00000000">
              <w:rPr>
                <w:sz w:val="24"/>
                <w:szCs w:val="24"/>
                <w:rtl w:val="0"/>
              </w:rPr>
              <w:t xml:space="preserve">45</w:t>
            </w:r>
          </w:p>
        </w:tc>
      </w:tr>
      <w:tr>
        <w:trPr>
          <w:cantSplit w:val="0"/>
          <w:tblHeader w:val="0"/>
        </w:trPr>
        <w:tc>
          <w:tcPr/>
          <w:p w:rsidR="00000000" w:rsidDel="00000000" w:rsidP="00000000" w:rsidRDefault="00000000" w:rsidRPr="00000000" w14:paraId="00000135">
            <w:pPr>
              <w:jc w:val="both"/>
              <w:rPr>
                <w:b w:val="1"/>
                <w:bCs w:val="1"/>
                <w:sz w:val="24"/>
                <w:szCs w:val="24"/>
              </w:rPr>
            </w:pPr>
            <w:r w:rsidDel="00000000" w:rsidR="00000000" w:rsidRPr="00000000">
              <w:rPr>
                <w:b w:val="1"/>
                <w:bCs w:val="1"/>
                <w:sz w:val="24"/>
                <w:szCs w:val="24"/>
                <w:rtl w:val="0"/>
              </w:rPr>
              <w:t xml:space="preserve">Total</w:t>
            </w:r>
          </w:p>
        </w:tc>
        <w:tc>
          <w:tcPr/>
          <w:p w:rsidR="00000000" w:rsidDel="00000000" w:rsidP="00000000" w:rsidRDefault="00000000" w:rsidRPr="00000000" w14:paraId="00000136">
            <w:pPr>
              <w:jc w:val="both"/>
              <w:rPr>
                <w:b w:val="1"/>
                <w:bCs w:val="1"/>
                <w:sz w:val="24"/>
                <w:szCs w:val="24"/>
              </w:rPr>
            </w:pPr>
            <w:r w:rsidDel="00000000" w:rsidR="00000000" w:rsidRPr="00000000">
              <w:rPr>
                <w:b w:val="1"/>
                <w:bCs w:val="1"/>
                <w:sz w:val="24"/>
                <w:szCs w:val="24"/>
                <w:rtl w:val="0"/>
              </w:rPr>
              <w:t xml:space="preserve">140</w:t>
            </w:r>
          </w:p>
        </w:tc>
      </w:tr>
    </w:tbl>
    <w:p w:rsidR="00000000" w:rsidDel="00000000" w:rsidP="00000000" w:rsidRDefault="00000000" w:rsidRPr="00000000" w14:paraId="00000137">
      <w:pPr>
        <w:jc w:val="both"/>
        <w:rPr>
          <w:sz w:val="24"/>
          <w:szCs w:val="24"/>
        </w:rPr>
      </w:pPr>
      <w:r w:rsidDel="00000000" w:rsidR="00000000" w:rsidRPr="00000000">
        <w:rPr>
          <w:rtl w:val="0"/>
        </w:rPr>
      </w:r>
    </w:p>
    <w:p w:rsidR="00000000" w:rsidDel="00000000" w:rsidP="00000000" w:rsidRDefault="00000000" w:rsidRPr="00000000" w14:paraId="00000138">
      <w:pPr>
        <w:jc w:val="both"/>
        <w:rPr>
          <w:sz w:val="24"/>
          <w:szCs w:val="24"/>
        </w:rPr>
      </w:pPr>
      <w:r w:rsidDel="00000000" w:rsidR="00000000" w:rsidRPr="00000000">
        <w:rPr>
          <w:sz w:val="24"/>
          <w:szCs w:val="24"/>
          <w:rtl w:val="0"/>
        </w:rPr>
        <w:t xml:space="preserve">In addition, the entity regularly sells Products B and C together for CU60.</w:t>
      </w:r>
    </w:p>
    <w:p w:rsidR="00000000" w:rsidDel="00000000" w:rsidP="00000000" w:rsidRDefault="00000000" w:rsidRPr="00000000" w14:paraId="00000139">
      <w:pPr>
        <w:jc w:val="both"/>
        <w:rPr>
          <w:sz w:val="24"/>
          <w:szCs w:val="24"/>
          <w:u w:val="single"/>
        </w:rPr>
      </w:pPr>
      <w:r w:rsidDel="00000000" w:rsidR="00000000" w:rsidRPr="00000000">
        <w:rPr>
          <w:sz w:val="24"/>
          <w:szCs w:val="24"/>
          <w:u w:val="single"/>
          <w:rtl w:val="0"/>
        </w:rPr>
        <w:t xml:space="preserve">Case A:</w:t>
      </w:r>
    </w:p>
    <w:p w:rsidR="00000000" w:rsidDel="00000000" w:rsidP="00000000" w:rsidRDefault="00000000" w:rsidRPr="00000000" w14:paraId="0000013A">
      <w:pPr>
        <w:jc w:val="both"/>
        <w:rPr>
          <w:sz w:val="24"/>
          <w:szCs w:val="24"/>
        </w:rPr>
      </w:pPr>
      <w:r w:rsidDel="00000000" w:rsidR="00000000" w:rsidRPr="00000000">
        <w:rPr>
          <w:sz w:val="24"/>
          <w:szCs w:val="24"/>
          <w:rtl w:val="0"/>
        </w:rPr>
        <w:t xml:space="preserve">Syensqo enters into a contract with a customer to sell Products A, B and C in exchange for 100€. Syensqo will satisfy the performance obligations for each of the products at different points in time.</w:t>
      </w:r>
    </w:p>
    <w:p w:rsidR="00000000" w:rsidDel="00000000" w:rsidP="00000000" w:rsidRDefault="00000000" w:rsidRPr="00000000" w14:paraId="0000013B">
      <w:pPr>
        <w:jc w:val="both"/>
        <w:rPr>
          <w:sz w:val="24"/>
          <w:szCs w:val="24"/>
        </w:rPr>
      </w:pPr>
      <w:r w:rsidDel="00000000" w:rsidR="00000000" w:rsidRPr="00000000">
        <w:rPr>
          <w:sz w:val="24"/>
          <w:szCs w:val="24"/>
          <w:rtl w:val="0"/>
        </w:rPr>
        <w:t xml:space="preserve">The contract includes a discount of 40€ on the overall transaction, which would be allocated proportionately to all three performance obligations when allocating the transaction price using the relative stand-alone selling price method. However, because Syensqo regularly sells Products B and C together for 60€ and Product A for 40€, it has evidence that the entire discount should be allocated to the promises to transfer Products B and C.</w:t>
      </w:r>
    </w:p>
    <w:p w:rsidR="00000000" w:rsidDel="00000000" w:rsidP="00000000" w:rsidRDefault="00000000" w:rsidRPr="00000000" w14:paraId="0000013C">
      <w:pPr>
        <w:jc w:val="both"/>
        <w:rPr>
          <w:sz w:val="24"/>
          <w:szCs w:val="24"/>
        </w:rPr>
      </w:pPr>
      <w:r w:rsidDel="00000000" w:rsidR="00000000" w:rsidRPr="00000000">
        <w:rPr>
          <w:sz w:val="24"/>
          <w:szCs w:val="24"/>
          <w:rtl w:val="0"/>
        </w:rPr>
        <w:t xml:space="preserve">If Syensqo transfers control of Products B and C at the same point in time, then Syensqo could, as a practical matter, account for the transfer of those products as a single performance obligation. That is, Syensqo could allocate 60€ of the transaction price to the single performance obligation and recognize revenue of 60€ when Products B and C simultaneously transfer to the customer.</w:t>
      </w:r>
    </w:p>
    <w:p w:rsidR="00000000" w:rsidDel="00000000" w:rsidP="00000000" w:rsidRDefault="00000000" w:rsidRPr="00000000" w14:paraId="0000013D">
      <w:pPr>
        <w:jc w:val="both"/>
        <w:rPr>
          <w:sz w:val="24"/>
          <w:szCs w:val="24"/>
        </w:rPr>
      </w:pPr>
      <w:r w:rsidDel="00000000" w:rsidR="00000000" w:rsidRPr="00000000">
        <w:rPr>
          <w:sz w:val="24"/>
          <w:szCs w:val="24"/>
          <w:rtl w:val="0"/>
        </w:rPr>
        <w:t xml:space="preserve">If the contract requires the Syensqo to transfer control of Products B and C at different points in time, then the allocated amount of 60€ is individually allocated to the promises to transfer Product B (stand-alone selling price of 55€) and Product C (stand-alone selling price of 45€) as follows:</w:t>
      </w:r>
    </w:p>
    <w:tbl>
      <w:tblPr>
        <w:tblStyle w:val="Table5"/>
        <w:tblW w:w="9356.0" w:type="dxa"/>
        <w:jc w:val="left"/>
        <w:tblInd w:w="108.0" w:type="dxa"/>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4811"/>
        <w:gridCol w:w="4545"/>
        <w:tblGridChange w:id="0">
          <w:tblGrid>
            <w:gridCol w:w="4811"/>
            <w:gridCol w:w="4545"/>
          </w:tblGrid>
        </w:tblGridChange>
      </w:tblGrid>
      <w:tr>
        <w:trPr>
          <w:cantSplit w:val="0"/>
          <w:tblHeader w:val="0"/>
        </w:trPr>
        <w:tc>
          <w:tcPr/>
          <w:p w:rsidR="00000000" w:rsidDel="00000000" w:rsidP="00000000" w:rsidRDefault="00000000" w:rsidRPr="00000000" w14:paraId="0000013E">
            <w:pPr>
              <w:jc w:val="both"/>
              <w:rPr>
                <w:b w:val="1"/>
                <w:bCs w:val="1"/>
                <w:sz w:val="24"/>
                <w:szCs w:val="24"/>
              </w:rPr>
            </w:pPr>
            <w:r w:rsidDel="00000000" w:rsidR="00000000" w:rsidRPr="00000000">
              <w:rPr>
                <w:b w:val="1"/>
                <w:bCs w:val="1"/>
                <w:sz w:val="24"/>
                <w:szCs w:val="24"/>
                <w:rtl w:val="0"/>
              </w:rPr>
              <w:t xml:space="preserve">Product</w:t>
            </w:r>
          </w:p>
        </w:tc>
        <w:tc>
          <w:tcPr/>
          <w:p w:rsidR="00000000" w:rsidDel="00000000" w:rsidP="00000000" w:rsidRDefault="00000000" w:rsidRPr="00000000" w14:paraId="0000013F">
            <w:pPr>
              <w:jc w:val="both"/>
              <w:rPr>
                <w:b w:val="1"/>
                <w:bCs w:val="1"/>
                <w:sz w:val="24"/>
                <w:szCs w:val="24"/>
              </w:rPr>
            </w:pPr>
            <w:r w:rsidDel="00000000" w:rsidR="00000000" w:rsidRPr="00000000">
              <w:rPr>
                <w:b w:val="1"/>
                <w:bCs w:val="1"/>
                <w:sz w:val="24"/>
                <w:szCs w:val="24"/>
                <w:rtl w:val="0"/>
              </w:rPr>
              <w:t xml:space="preserve">Allocated transaction price (€)</w:t>
            </w:r>
          </w:p>
        </w:tc>
      </w:tr>
      <w:tr>
        <w:trPr>
          <w:cantSplit w:val="0"/>
          <w:tblHeader w:val="0"/>
        </w:trPr>
        <w:tc>
          <w:tcPr/>
          <w:p w:rsidR="00000000" w:rsidDel="00000000" w:rsidP="00000000" w:rsidRDefault="00000000" w:rsidRPr="00000000" w14:paraId="00000140">
            <w:pPr>
              <w:jc w:val="both"/>
              <w:rPr>
                <w:sz w:val="24"/>
                <w:szCs w:val="24"/>
              </w:rPr>
            </w:pPr>
            <w:r w:rsidDel="00000000" w:rsidR="00000000" w:rsidRPr="00000000">
              <w:rPr>
                <w:sz w:val="24"/>
                <w:szCs w:val="24"/>
                <w:rtl w:val="0"/>
              </w:rPr>
              <w:t xml:space="preserve">Product B</w:t>
            </w:r>
          </w:p>
        </w:tc>
        <w:tc>
          <w:tcPr/>
          <w:p w:rsidR="00000000" w:rsidDel="00000000" w:rsidP="00000000" w:rsidRDefault="00000000" w:rsidRPr="00000000" w14:paraId="00000141">
            <w:pPr>
              <w:jc w:val="both"/>
              <w:rPr>
                <w:sz w:val="24"/>
                <w:szCs w:val="24"/>
              </w:rPr>
            </w:pPr>
            <w:r w:rsidDel="00000000" w:rsidR="00000000" w:rsidRPr="00000000">
              <w:rPr>
                <w:sz w:val="24"/>
                <w:szCs w:val="24"/>
                <w:rtl w:val="0"/>
              </w:rPr>
              <w:t xml:space="preserve">33 (55/100 x 60)</w:t>
            </w:r>
          </w:p>
        </w:tc>
      </w:tr>
      <w:tr>
        <w:trPr>
          <w:cantSplit w:val="0"/>
          <w:tblHeader w:val="0"/>
        </w:trPr>
        <w:tc>
          <w:tcPr/>
          <w:p w:rsidR="00000000" w:rsidDel="00000000" w:rsidP="00000000" w:rsidRDefault="00000000" w:rsidRPr="00000000" w14:paraId="00000142">
            <w:pPr>
              <w:jc w:val="both"/>
              <w:rPr>
                <w:sz w:val="24"/>
                <w:szCs w:val="24"/>
              </w:rPr>
            </w:pPr>
            <w:r w:rsidDel="00000000" w:rsidR="00000000" w:rsidRPr="00000000">
              <w:rPr>
                <w:sz w:val="24"/>
                <w:szCs w:val="24"/>
                <w:rtl w:val="0"/>
              </w:rPr>
              <w:t xml:space="preserve">Product C</w:t>
            </w:r>
          </w:p>
        </w:tc>
        <w:tc>
          <w:tcPr/>
          <w:p w:rsidR="00000000" w:rsidDel="00000000" w:rsidP="00000000" w:rsidRDefault="00000000" w:rsidRPr="00000000" w14:paraId="00000143">
            <w:pPr>
              <w:jc w:val="both"/>
              <w:rPr>
                <w:sz w:val="24"/>
                <w:szCs w:val="24"/>
              </w:rPr>
            </w:pPr>
            <w:r w:rsidDel="00000000" w:rsidR="00000000" w:rsidRPr="00000000">
              <w:rPr>
                <w:sz w:val="24"/>
                <w:szCs w:val="24"/>
                <w:rtl w:val="0"/>
              </w:rPr>
              <w:t xml:space="preserve">27 (45/100 x 60)</w:t>
            </w:r>
          </w:p>
        </w:tc>
      </w:tr>
      <w:tr>
        <w:trPr>
          <w:cantSplit w:val="0"/>
          <w:tblHeader w:val="0"/>
        </w:trPr>
        <w:tc>
          <w:tcPr/>
          <w:p w:rsidR="00000000" w:rsidDel="00000000" w:rsidP="00000000" w:rsidRDefault="00000000" w:rsidRPr="00000000" w14:paraId="00000144">
            <w:pPr>
              <w:jc w:val="both"/>
              <w:rPr>
                <w:b w:val="1"/>
                <w:bCs w:val="1"/>
                <w:sz w:val="24"/>
                <w:szCs w:val="24"/>
              </w:rPr>
            </w:pPr>
            <w:r w:rsidDel="00000000" w:rsidR="00000000" w:rsidRPr="00000000">
              <w:rPr>
                <w:b w:val="1"/>
                <w:bCs w:val="1"/>
                <w:sz w:val="24"/>
                <w:szCs w:val="24"/>
                <w:rtl w:val="0"/>
              </w:rPr>
              <w:t xml:space="preserve">Total</w:t>
            </w:r>
          </w:p>
        </w:tc>
        <w:tc>
          <w:tcPr/>
          <w:p w:rsidR="00000000" w:rsidDel="00000000" w:rsidP="00000000" w:rsidRDefault="00000000" w:rsidRPr="00000000" w14:paraId="00000145">
            <w:pPr>
              <w:jc w:val="both"/>
              <w:rPr>
                <w:b w:val="1"/>
                <w:bCs w:val="1"/>
                <w:sz w:val="24"/>
                <w:szCs w:val="24"/>
              </w:rPr>
            </w:pPr>
            <w:r w:rsidDel="00000000" w:rsidR="00000000" w:rsidRPr="00000000">
              <w:rPr>
                <w:b w:val="1"/>
                <w:bCs w:val="1"/>
                <w:sz w:val="24"/>
                <w:szCs w:val="24"/>
                <w:rtl w:val="0"/>
              </w:rPr>
              <w:t xml:space="preserve">60</w:t>
            </w:r>
          </w:p>
        </w:tc>
      </w:tr>
    </w:tbl>
    <w:p w:rsidR="00000000" w:rsidDel="00000000" w:rsidP="00000000" w:rsidRDefault="00000000" w:rsidRPr="00000000" w14:paraId="00000146">
      <w:pPr>
        <w:jc w:val="both"/>
        <w:rPr>
          <w:sz w:val="24"/>
          <w:szCs w:val="24"/>
        </w:rPr>
      </w:pPr>
      <w:r w:rsidDel="00000000" w:rsidR="00000000" w:rsidRPr="00000000">
        <w:rPr>
          <w:rtl w:val="0"/>
        </w:rPr>
      </w:r>
    </w:p>
    <w:p w:rsidR="00000000" w:rsidDel="00000000" w:rsidP="00000000" w:rsidRDefault="00000000" w:rsidRPr="00000000" w14:paraId="00000147">
      <w:pPr>
        <w:jc w:val="both"/>
        <w:rPr>
          <w:sz w:val="24"/>
          <w:szCs w:val="24"/>
          <w:u w:val="single"/>
        </w:rPr>
      </w:pPr>
      <w:r w:rsidDel="00000000" w:rsidR="00000000" w:rsidRPr="00000000">
        <w:rPr>
          <w:sz w:val="24"/>
          <w:szCs w:val="24"/>
          <w:u w:val="single"/>
          <w:rtl w:val="0"/>
        </w:rPr>
        <w:t xml:space="preserve">Case B:</w:t>
      </w:r>
    </w:p>
    <w:p w:rsidR="00000000" w:rsidDel="00000000" w:rsidP="00000000" w:rsidRDefault="00000000" w:rsidRPr="00000000" w14:paraId="00000148">
      <w:pPr>
        <w:jc w:val="both"/>
        <w:rPr>
          <w:sz w:val="24"/>
          <w:szCs w:val="24"/>
        </w:rPr>
      </w:pPr>
      <w:r w:rsidDel="00000000" w:rsidR="00000000" w:rsidRPr="00000000">
        <w:rPr>
          <w:sz w:val="24"/>
          <w:szCs w:val="24"/>
          <w:rtl w:val="0"/>
        </w:rPr>
        <w:t xml:space="preserve">Syensqo enters into a contract with a customer to sell Products A, B and C as described in Case A. The contract also includes a promise to transfer Product D. Total consideration in the contract is 130€. The stand-alone selling price for Product D is highly variable because the entity sells Product D to different customers for a broad range of amounts (15€–45€). Consequently, Syensqo decides to estimate the stand-alone selling price of Product D using the residual approach.</w:t>
      </w:r>
    </w:p>
    <w:p w:rsidR="00000000" w:rsidDel="00000000" w:rsidP="00000000" w:rsidRDefault="00000000" w:rsidRPr="00000000" w14:paraId="00000149">
      <w:pPr>
        <w:jc w:val="both"/>
        <w:rPr>
          <w:sz w:val="24"/>
          <w:szCs w:val="24"/>
        </w:rPr>
      </w:pPr>
      <w:r w:rsidDel="00000000" w:rsidR="00000000" w:rsidRPr="00000000">
        <w:rPr>
          <w:sz w:val="24"/>
          <w:szCs w:val="24"/>
          <w:rtl w:val="0"/>
        </w:rPr>
        <w:t xml:space="preserve">Before estimating the stand-alone selling price of Product D using the residual approach, Syensqo determines whether any discount should be allocated to the other performance obligations in the contract. As in Case A, because the entity regularly sells Products B and C together for 60€ and Product A for 40€, it has observable evidence that 100€ should be allocated to those three products and a 40€ discount should be allocated to the promises to transfer Products B and C. Using the residual approach, Syensqo estimates the stand-alone selling price of Product D to be 30€. </w:t>
      </w:r>
    </w:p>
    <w:p w:rsidR="00000000" w:rsidDel="00000000" w:rsidP="00000000" w:rsidRDefault="00000000" w:rsidRPr="00000000" w14:paraId="0000014A">
      <w:pPr>
        <w:jc w:val="both"/>
        <w:rPr>
          <w:sz w:val="24"/>
          <w:szCs w:val="24"/>
        </w:rPr>
      </w:pPr>
      <w:r w:rsidDel="00000000" w:rsidR="00000000" w:rsidRPr="00000000">
        <w:rPr>
          <w:sz w:val="24"/>
          <w:szCs w:val="24"/>
          <w:rtl w:val="0"/>
        </w:rPr>
        <w:t xml:space="preserve">Syensqo observes that the resulting 30€ allocated to Product D is within the range of its observable selling prices (15€–45€). Therefore, the resulting allocation is acceptable.</w:t>
      </w:r>
    </w:p>
    <w:p w:rsidR="00000000" w:rsidDel="00000000" w:rsidP="00000000" w:rsidRDefault="00000000" w:rsidRPr="00000000" w14:paraId="0000014B">
      <w:pPr>
        <w:pStyle w:val="Heading3"/>
        <w:numPr>
          <w:ilvl w:val="0"/>
          <w:numId w:val="23"/>
        </w:numPr>
        <w:ind w:left="426" w:hanging="360"/>
        <w:rPr/>
      </w:pPr>
      <w:bookmarkStart w:colFirst="0" w:colLast="0" w:name="_heading=h.ohndobz68p3v" w:id="16"/>
      <w:bookmarkEnd w:id="16"/>
      <w:r w:rsidDel="00000000" w:rsidR="00000000" w:rsidRPr="00000000">
        <w:rPr>
          <w:rtl w:val="0"/>
        </w:rPr>
        <w:t xml:space="preserve">Exception to the relative stand-alone selling price allocation: allocation of a variable consideration</w:t>
      </w:r>
    </w:p>
    <w:p w:rsidR="00000000" w:rsidDel="00000000" w:rsidP="00000000" w:rsidRDefault="00000000" w:rsidRPr="00000000" w14:paraId="0000014C">
      <w:pPr>
        <w:jc w:val="both"/>
        <w:rPr>
          <w:sz w:val="24"/>
          <w:szCs w:val="24"/>
        </w:rPr>
      </w:pPr>
      <w:r w:rsidDel="00000000" w:rsidR="00000000" w:rsidRPr="00000000">
        <w:rPr>
          <w:sz w:val="24"/>
          <w:szCs w:val="24"/>
          <w:rtl w:val="0"/>
        </w:rPr>
        <w:t xml:space="preserve">Variable consideration may be attributable either to the entire contract, or to specific parts of the contract, such as one or more performance obligations in the contracts or one or more distinct goods or services promised in a series of distinct goods or services that form part of a single performance obligation. </w:t>
      </w:r>
    </w:p>
    <w:p w:rsidR="00000000" w:rsidDel="00000000" w:rsidP="00000000" w:rsidRDefault="00000000" w:rsidRPr="00000000" w14:paraId="0000014D">
      <w:pPr>
        <w:jc w:val="both"/>
        <w:rPr>
          <w:sz w:val="24"/>
          <w:szCs w:val="24"/>
        </w:rPr>
      </w:pPr>
      <w:r w:rsidDel="00000000" w:rsidR="00000000" w:rsidRPr="00000000">
        <w:rPr>
          <w:sz w:val="24"/>
          <w:szCs w:val="24"/>
          <w:rtl w:val="0"/>
        </w:rPr>
        <w:t xml:space="preserve">A variable consideration is allocated entirely to a performance obligation if both:</w:t>
      </w:r>
    </w:p>
    <w:p w:rsidR="00000000" w:rsidDel="00000000" w:rsidP="00000000" w:rsidRDefault="00000000" w:rsidRPr="00000000" w14:paraId="0000014E">
      <w:pPr>
        <w:numPr>
          <w:ilvl w:val="0"/>
          <w:numId w:val="30"/>
        </w:numPr>
        <w:pBdr>
          <w:top w:space="0" w:sz="0" w:val="nil"/>
          <w:left w:space="0" w:sz="0" w:val="nil"/>
          <w:bottom w:space="0" w:sz="0" w:val="nil"/>
          <w:right w:space="0" w:sz="0" w:val="nil"/>
          <w:between w:space="0" w:sz="0" w:val="nil"/>
        </w:pBdr>
        <w:spacing w:after="0" w:lineRule="auto"/>
        <w:ind w:left="426" w:hanging="360"/>
        <w:rPr>
          <w:color w:val="000000"/>
          <w:sz w:val="24"/>
          <w:szCs w:val="24"/>
        </w:rPr>
      </w:pPr>
      <w:r w:rsidDel="00000000" w:rsidR="00000000" w:rsidRPr="00000000">
        <w:rPr>
          <w:color w:val="000000"/>
          <w:sz w:val="24"/>
          <w:szCs w:val="24"/>
          <w:rtl w:val="0"/>
        </w:rPr>
        <w:t xml:space="preserve">The terms of a variable payment relate specifically to the entity’s efforts to satisfy the performance obligation or transfer the distinct good or service (or a specific outcome from satisfying the performance obligation or transferring the distinct good or service); and</w:t>
      </w:r>
    </w:p>
    <w:p w:rsidR="00000000" w:rsidDel="00000000" w:rsidP="00000000" w:rsidRDefault="00000000" w:rsidRPr="00000000" w14:paraId="0000014F">
      <w:pPr>
        <w:numPr>
          <w:ilvl w:val="0"/>
          <w:numId w:val="30"/>
        </w:numPr>
        <w:pBdr>
          <w:top w:space="0" w:sz="0" w:val="nil"/>
          <w:left w:space="0" w:sz="0" w:val="nil"/>
          <w:bottom w:space="0" w:sz="0" w:val="nil"/>
          <w:right w:space="0" w:sz="0" w:val="nil"/>
          <w:between w:space="0" w:sz="0" w:val="nil"/>
        </w:pBdr>
        <w:ind w:left="426" w:hanging="360"/>
        <w:jc w:val="both"/>
        <w:rPr>
          <w:color w:val="000000"/>
          <w:sz w:val="24"/>
          <w:szCs w:val="24"/>
        </w:rPr>
      </w:pPr>
      <w:r w:rsidDel="00000000" w:rsidR="00000000" w:rsidRPr="00000000">
        <w:rPr>
          <w:color w:val="000000"/>
          <w:sz w:val="24"/>
          <w:szCs w:val="24"/>
          <w:rtl w:val="0"/>
        </w:rPr>
        <w:t xml:space="preserve">The allocation is consistent with the allocation objective.</w:t>
      </w:r>
    </w:p>
    <w:p w:rsidR="00000000" w:rsidDel="00000000" w:rsidP="00000000" w:rsidRDefault="00000000" w:rsidRPr="00000000" w14:paraId="00000150">
      <w:pPr>
        <w:pStyle w:val="Heading2"/>
        <w:numPr>
          <w:ilvl w:val="1"/>
          <w:numId w:val="23"/>
        </w:numPr>
        <w:ind w:left="1440" w:hanging="360"/>
        <w:rPr/>
      </w:pPr>
      <w:bookmarkStart w:colFirst="0" w:colLast="0" w:name="_heading=h.9rb5nc1pvn75" w:id="17"/>
      <w:bookmarkEnd w:id="17"/>
      <w:r w:rsidDel="00000000" w:rsidR="00000000" w:rsidRPr="00000000">
        <w:rPr>
          <w:rtl w:val="0"/>
        </w:rPr>
        <w:t xml:space="preserve">Step five – Recognize revenue when each performance obligation is satisfied</w:t>
      </w:r>
    </w:p>
    <w:p w:rsidR="00000000" w:rsidDel="00000000" w:rsidP="00000000" w:rsidRDefault="00000000" w:rsidRPr="00000000" w14:paraId="00000151">
      <w:pPr>
        <w:jc w:val="both"/>
        <w:rPr>
          <w:sz w:val="24"/>
          <w:szCs w:val="24"/>
        </w:rPr>
      </w:pPr>
      <w:r w:rsidDel="00000000" w:rsidR="00000000" w:rsidRPr="00000000">
        <w:rPr>
          <w:sz w:val="24"/>
          <w:szCs w:val="24"/>
          <w:rtl w:val="0"/>
        </w:rPr>
        <w:t xml:space="preserve">Revenue is recognize when the entity satisfies an identified performance obligation, by transferring a promised good or service to a customer.  A good or service is generally considered to be transferred when the customer obtains control.  </w:t>
      </w:r>
    </w:p>
    <w:p w:rsidR="00000000" w:rsidDel="00000000" w:rsidP="00000000" w:rsidRDefault="00000000" w:rsidRPr="00000000" w14:paraId="00000152">
      <w:pPr>
        <w:jc w:val="both"/>
        <w:rPr>
          <w:sz w:val="24"/>
          <w:szCs w:val="24"/>
        </w:rPr>
      </w:pPr>
      <w:r w:rsidDel="00000000" w:rsidR="00000000" w:rsidRPr="00000000">
        <w:rPr>
          <w:sz w:val="24"/>
          <w:szCs w:val="24"/>
          <w:rtl w:val="0"/>
        </w:rPr>
        <w:t xml:space="preserve">Control in the context of IFRS 15 is the ability to direct the use of, and obtain substantially all of the remaining benefits from, an asset.  Control also means the ability to prevent others from directing the use of, and receiving the benefits from, a good or service.</w:t>
      </w:r>
    </w:p>
    <w:p w:rsidR="00000000" w:rsidDel="00000000" w:rsidP="00000000" w:rsidRDefault="00000000" w:rsidRPr="00000000" w14:paraId="00000153">
      <w:pPr>
        <w:jc w:val="both"/>
        <w:rPr>
          <w:sz w:val="24"/>
          <w:szCs w:val="24"/>
        </w:rPr>
      </w:pPr>
      <w:r w:rsidDel="00000000" w:rsidR="00000000" w:rsidRPr="00000000">
        <w:rPr>
          <w:sz w:val="24"/>
          <w:szCs w:val="24"/>
          <w:rtl w:val="0"/>
        </w:rPr>
        <w:t xml:space="preserve">When evaluating whether a customer obtains control of an asset, an entity considers any agreement it negotiated to repurchase the asset transferred to the customer, or a component of that asset.  </w:t>
      </w:r>
    </w:p>
    <w:p w:rsidR="00000000" w:rsidDel="00000000" w:rsidP="00000000" w:rsidRDefault="00000000" w:rsidRPr="00000000" w14:paraId="00000154">
      <w:pPr>
        <w:jc w:val="both"/>
        <w:rPr>
          <w:sz w:val="24"/>
          <w:szCs w:val="24"/>
        </w:rPr>
      </w:pPr>
      <w:r w:rsidDel="00000000" w:rsidR="00000000" w:rsidRPr="00000000">
        <w:rPr>
          <w:sz w:val="24"/>
          <w:szCs w:val="24"/>
          <w:rtl w:val="0"/>
        </w:rPr>
        <w:t xml:space="preserve">For each performance obligation, an entity determines at contract inception whether control is transferred (a) over time or (b) at a point in time. In general, when Syensqo is selling goods to its customers, related performance obligations are satisfied at a point in time, meaning revenue is recognized at a point in time. </w:t>
      </w:r>
    </w:p>
    <w:p w:rsidR="00000000" w:rsidDel="00000000" w:rsidP="00000000" w:rsidRDefault="00000000" w:rsidRPr="00000000" w14:paraId="00000155">
      <w:pPr>
        <w:pStyle w:val="Heading3"/>
        <w:numPr>
          <w:ilvl w:val="0"/>
          <w:numId w:val="34"/>
        </w:numPr>
        <w:ind w:left="426" w:hanging="360"/>
        <w:rPr/>
      </w:pPr>
      <w:bookmarkStart w:colFirst="0" w:colLast="0" w:name="_heading=h.ua741fo5neo5" w:id="18"/>
      <w:bookmarkEnd w:id="18"/>
      <w:r w:rsidDel="00000000" w:rsidR="00000000" w:rsidRPr="00000000">
        <w:rPr>
          <w:rtl w:val="0"/>
        </w:rPr>
        <w:t xml:space="preserve">Performance obligations satisfied over time</w:t>
      </w:r>
    </w:p>
    <w:p w:rsidR="00000000" w:rsidDel="00000000" w:rsidP="00000000" w:rsidRDefault="00000000" w:rsidRPr="00000000" w14:paraId="00000156">
      <w:pPr>
        <w:pStyle w:val="Heading4"/>
        <w:numPr>
          <w:ilvl w:val="0"/>
          <w:numId w:val="4"/>
        </w:numPr>
        <w:ind w:left="426" w:hanging="284"/>
        <w:rPr/>
      </w:pPr>
      <w:r w:rsidDel="00000000" w:rsidR="00000000" w:rsidRPr="00000000">
        <w:rPr>
          <w:rtl w:val="0"/>
        </w:rPr>
        <w:t xml:space="preserve">Conditions</w:t>
      </w:r>
    </w:p>
    <w:p w:rsidR="00000000" w:rsidDel="00000000" w:rsidP="00000000" w:rsidRDefault="00000000" w:rsidRPr="00000000" w14:paraId="00000157">
      <w:pPr>
        <w:jc w:val="both"/>
        <w:rPr>
          <w:sz w:val="24"/>
          <w:szCs w:val="24"/>
        </w:rPr>
      </w:pPr>
      <w:r w:rsidDel="00000000" w:rsidR="00000000" w:rsidRPr="00000000">
        <w:rPr>
          <w:sz w:val="24"/>
          <w:szCs w:val="24"/>
          <w:rtl w:val="0"/>
        </w:rPr>
        <w:t xml:space="preserve">Revenue is recognized over time, if one of the following criteria is met:</w:t>
      </w:r>
    </w:p>
    <w:p w:rsidR="00000000" w:rsidDel="00000000" w:rsidP="00000000" w:rsidRDefault="00000000" w:rsidRPr="00000000" w14:paraId="00000158">
      <w:pPr>
        <w:numPr>
          <w:ilvl w:val="0"/>
          <w:numId w:val="31"/>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customer simultaneously receives and consumes the benefits provided by the entity’s performance as the entity performs: this is the case if an entity determines that another entity would not need to substantially re-perform the work that the entity has completed to date if that other entity were to fulfil the remaining performance obligation to the customer. As an example, routine or recurring services such as cleaning services can meet this criterion: if 40% of a building has been cleaned, if another entity resumes the service, it does not need to clean this 40% again. This criterion generally would not apply to the production of goods at </w:t>
      </w:r>
      <w:r w:rsidDel="00000000" w:rsidR="00000000" w:rsidRPr="00000000">
        <w:rPr>
          <w:sz w:val="24"/>
          <w:szCs w:val="24"/>
          <w:rtl w:val="0"/>
        </w:rPr>
        <w:t xml:space="preserve">Syensqo</w:t>
      </w:r>
      <w:r w:rsidDel="00000000" w:rsidR="00000000" w:rsidRPr="00000000">
        <w:rPr>
          <w:color w:val="000000"/>
          <w:sz w:val="24"/>
          <w:szCs w:val="24"/>
          <w:rtl w:val="0"/>
        </w:rPr>
        <w:t xml:space="preserve"> for sale to the customers.</w:t>
      </w:r>
    </w:p>
    <w:p w:rsidR="00000000" w:rsidDel="00000000" w:rsidP="00000000" w:rsidRDefault="00000000" w:rsidRPr="00000000" w14:paraId="00000159">
      <w:pPr>
        <w:numPr>
          <w:ilvl w:val="0"/>
          <w:numId w:val="31"/>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entity’s performance creates or enhances an asset that the customer controls as the asset is created or enhanced.  For example, the construction of an asset on a customer’s site can meet this criterion. The production of standard goods that will be sold to a portfolio of customers at the discretion of the vendor does not meet this criterion. </w:t>
      </w:r>
    </w:p>
    <w:p w:rsidR="00000000" w:rsidDel="00000000" w:rsidP="00000000" w:rsidRDefault="00000000" w:rsidRPr="00000000" w14:paraId="0000015A">
      <w:pPr>
        <w:numPr>
          <w:ilvl w:val="0"/>
          <w:numId w:val="31"/>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The entity’s performance does not create an asset with an alternative use to the entity and the entity has an enforceable right to payment for performance completed to date. </w:t>
        <w:tab/>
        <w:t xml:space="preserve">Such criterion could apply in case a highly specialized asset is produced for a customer, and the vendor protects its economic interests by contractually requiring the customer to make payments for performance to-date when the contract is terminated by that customer or another party, other than for reasons of failure to perform by the vendor.</w:t>
        <w:br w:type="textWrapping"/>
      </w:r>
      <w:r w:rsidDel="00000000" w:rsidR="00000000" w:rsidRPr="00000000">
        <w:rPr>
          <w:color w:val="000000"/>
          <w:sz w:val="24"/>
          <w:szCs w:val="24"/>
          <w:u w:val="single"/>
          <w:rtl w:val="0"/>
        </w:rPr>
        <w:t xml:space="preserve">Alternative use</w:t>
      </w:r>
      <w:r w:rsidDel="00000000" w:rsidR="00000000" w:rsidRPr="00000000">
        <w:rPr>
          <w:color w:val="000000"/>
          <w:sz w:val="24"/>
          <w:szCs w:val="24"/>
          <w:rtl w:val="0"/>
        </w:rPr>
        <w:t xml:space="preserve">: goods that are interchangeable do have alternative use. An asset created by an entity’s performance does not have an alternative use if the entity is either restricted contractually from readily directing the asset for another use during the creation or enhancement of that asset or limited practically (i.e. the entity would incur significant economic losses) from readily directing the asset in its completed state for another use, such as selling it to a different customer.  For example, an entity may be practically limited from redirecting assets that have design specifications that are unique to a customer.  When an entity is creating something that is highly customized for a particular customer, it is less likely that the entity could use that asset for any other purpose. </w:t>
        <w:tab/>
        <w:br w:type="textWrapping"/>
      </w:r>
      <w:r w:rsidDel="00000000" w:rsidR="00000000" w:rsidRPr="00000000">
        <w:rPr>
          <w:color w:val="000000"/>
          <w:sz w:val="24"/>
          <w:szCs w:val="24"/>
          <w:u w:val="single"/>
          <w:rtl w:val="0"/>
        </w:rPr>
        <w:t xml:space="preserve">Enforceable right to payment for performance completed to date</w:t>
      </w:r>
      <w:r w:rsidDel="00000000" w:rsidR="00000000" w:rsidRPr="00000000">
        <w:rPr>
          <w:color w:val="000000"/>
          <w:sz w:val="24"/>
          <w:szCs w:val="24"/>
          <w:rtl w:val="0"/>
        </w:rPr>
        <w:t xml:space="preserve">: including a payment schedule in a contract in itself is not conclusive of the fact that the entity has the right to payment for performance completed to date.  The enforceable amount must at least compensate the entity for performance completed to date.</w:t>
      </w:r>
    </w:p>
    <w:p w:rsidR="00000000" w:rsidDel="00000000" w:rsidP="00000000" w:rsidRDefault="00000000" w:rsidRPr="00000000" w14:paraId="0000015B">
      <w:pPr>
        <w:pStyle w:val="Heading4"/>
        <w:numPr>
          <w:ilvl w:val="0"/>
          <w:numId w:val="4"/>
        </w:numPr>
        <w:ind w:left="720" w:hanging="360"/>
        <w:rPr/>
      </w:pPr>
      <w:r w:rsidDel="00000000" w:rsidR="00000000" w:rsidRPr="00000000">
        <w:rPr>
          <w:rtl w:val="0"/>
        </w:rPr>
        <w:t xml:space="preserve">Measuring progress</w:t>
      </w:r>
    </w:p>
    <w:p w:rsidR="00000000" w:rsidDel="00000000" w:rsidP="00000000" w:rsidRDefault="00000000" w:rsidRPr="00000000" w14:paraId="0000015C">
      <w:pPr>
        <w:jc w:val="both"/>
        <w:rPr>
          <w:sz w:val="24"/>
          <w:szCs w:val="24"/>
        </w:rPr>
      </w:pPr>
      <w:r w:rsidDel="00000000" w:rsidR="00000000" w:rsidRPr="00000000">
        <w:rPr>
          <w:sz w:val="24"/>
          <w:szCs w:val="24"/>
          <w:rtl w:val="0"/>
        </w:rPr>
        <w:t xml:space="preserve">For each performance obligation satisfied over time, an entity shall recognize revenue over time by measuring the progress towards complete satisfaction of that performance obligation.</w:t>
      </w:r>
    </w:p>
    <w:p w:rsidR="00000000" w:rsidDel="00000000" w:rsidP="00000000" w:rsidRDefault="00000000" w:rsidRPr="00000000" w14:paraId="0000015D">
      <w:pPr>
        <w:tabs>
          <w:tab w:val="left" w:leader="none" w:pos="3030"/>
        </w:tabs>
        <w:jc w:val="both"/>
        <w:rPr>
          <w:i w:val="1"/>
          <w:iCs w:val="1"/>
          <w:sz w:val="24"/>
          <w:szCs w:val="24"/>
          <w:u w:val="single"/>
        </w:rPr>
      </w:pPr>
      <w:r w:rsidDel="00000000" w:rsidR="00000000" w:rsidRPr="00000000">
        <w:rPr>
          <w:i w:val="1"/>
          <w:iCs w:val="1"/>
          <w:sz w:val="24"/>
          <w:szCs w:val="24"/>
          <w:u w:val="single"/>
          <w:rtl w:val="0"/>
        </w:rPr>
        <w:t xml:space="preserve">Output method</w:t>
      </w:r>
    </w:p>
    <w:p w:rsidR="00000000" w:rsidDel="00000000" w:rsidP="00000000" w:rsidRDefault="00000000" w:rsidRPr="00000000" w14:paraId="0000015E">
      <w:pPr>
        <w:tabs>
          <w:tab w:val="left" w:leader="none" w:pos="3030"/>
        </w:tabs>
        <w:jc w:val="both"/>
        <w:rPr>
          <w:sz w:val="24"/>
          <w:szCs w:val="24"/>
        </w:rPr>
      </w:pPr>
      <w:r w:rsidDel="00000000" w:rsidR="00000000" w:rsidRPr="00000000">
        <w:rPr>
          <w:sz w:val="24"/>
          <w:szCs w:val="24"/>
          <w:rtl w:val="0"/>
        </w:rPr>
        <w:t xml:space="preserve">Output methods recognize revenue on the basis of direct measurements of the value to the customer of the goods or services transferred to date relative to the remaining goods or services promised under the contract (surveys of performance, appraisals of results achieved, milestones reached, time elapsed and units produced or delivered).</w:t>
      </w:r>
    </w:p>
    <w:p w:rsidR="00000000" w:rsidDel="00000000" w:rsidP="00000000" w:rsidRDefault="00000000" w:rsidRPr="00000000" w14:paraId="0000015F">
      <w:pPr>
        <w:tabs>
          <w:tab w:val="left" w:leader="none" w:pos="3030"/>
        </w:tabs>
        <w:jc w:val="both"/>
        <w:rPr>
          <w:i w:val="1"/>
          <w:iCs w:val="1"/>
          <w:sz w:val="24"/>
          <w:szCs w:val="24"/>
          <w:u w:val="single"/>
        </w:rPr>
      </w:pPr>
      <w:r w:rsidDel="00000000" w:rsidR="00000000" w:rsidRPr="00000000">
        <w:rPr>
          <w:i w:val="1"/>
          <w:iCs w:val="1"/>
          <w:sz w:val="24"/>
          <w:szCs w:val="24"/>
          <w:u w:val="single"/>
          <w:rtl w:val="0"/>
        </w:rPr>
        <w:t xml:space="preserve">Input method</w:t>
      </w:r>
    </w:p>
    <w:p w:rsidR="00000000" w:rsidDel="00000000" w:rsidP="00000000" w:rsidRDefault="00000000" w:rsidRPr="00000000" w14:paraId="00000160">
      <w:pPr>
        <w:tabs>
          <w:tab w:val="left" w:leader="none" w:pos="3030"/>
        </w:tabs>
        <w:jc w:val="both"/>
        <w:rPr>
          <w:sz w:val="24"/>
          <w:szCs w:val="24"/>
        </w:rPr>
      </w:pPr>
      <w:r w:rsidDel="00000000" w:rsidR="00000000" w:rsidRPr="00000000">
        <w:rPr>
          <w:sz w:val="24"/>
          <w:szCs w:val="24"/>
          <w:rtl w:val="0"/>
        </w:rPr>
        <w:t xml:space="preserve">Input methods recognize revenue on the basis of the entity’s efforts or inputs to the satisfaction of a performance obligation (resources consumed, labor hours expended, costs incurred, time elapsed or machine hours used) relative to the total expected inputs to the satisfaction of that performance obligation.</w:t>
      </w:r>
    </w:p>
    <w:p w:rsidR="00000000" w:rsidDel="00000000" w:rsidP="00000000" w:rsidRDefault="00000000" w:rsidRPr="00000000" w14:paraId="00000161">
      <w:pPr>
        <w:pStyle w:val="Heading3"/>
        <w:numPr>
          <w:ilvl w:val="0"/>
          <w:numId w:val="34"/>
        </w:numPr>
        <w:ind w:left="426" w:hanging="360"/>
        <w:rPr/>
      </w:pPr>
      <w:bookmarkStart w:colFirst="0" w:colLast="0" w:name="_heading=h.t1w6kuu380i1" w:id="19"/>
      <w:bookmarkEnd w:id="19"/>
      <w:r w:rsidDel="00000000" w:rsidR="00000000" w:rsidRPr="00000000">
        <w:rPr>
          <w:rtl w:val="0"/>
        </w:rPr>
        <w:t xml:space="preserve">Performance obligations satisfied at a point in time</w:t>
      </w:r>
    </w:p>
    <w:p w:rsidR="00000000" w:rsidDel="00000000" w:rsidP="00000000" w:rsidRDefault="00000000" w:rsidRPr="00000000" w14:paraId="00000162">
      <w:pPr>
        <w:jc w:val="both"/>
        <w:rPr>
          <w:sz w:val="24"/>
          <w:szCs w:val="24"/>
        </w:rPr>
      </w:pPr>
      <w:r w:rsidDel="00000000" w:rsidR="00000000" w:rsidRPr="00000000">
        <w:rPr>
          <w:sz w:val="24"/>
          <w:szCs w:val="24"/>
          <w:rtl w:val="0"/>
        </w:rPr>
        <w:t xml:space="preserve">By default, if a performance obligation is not satisfied over time, an entity satisfies the performance obligation at a point in time.  To determine the point in time at which a customer obtains control of a promised asset and the entity satisfies a performance obligation, an entity shall consider indicators of the transfer of control, which mainly include:</w:t>
      </w:r>
    </w:p>
    <w:p w:rsidR="00000000" w:rsidDel="00000000" w:rsidP="00000000" w:rsidRDefault="00000000" w:rsidRPr="00000000" w14:paraId="00000163">
      <w:pPr>
        <w:numPr>
          <w:ilvl w:val="0"/>
          <w:numId w:val="19"/>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entity has a present right to payment for the asset</w:t>
      </w:r>
    </w:p>
    <w:p w:rsidR="00000000" w:rsidDel="00000000" w:rsidP="00000000" w:rsidRDefault="00000000" w:rsidRPr="00000000" w14:paraId="00000164">
      <w:pPr>
        <w:numPr>
          <w:ilvl w:val="0"/>
          <w:numId w:val="19"/>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customer has legal title to the asset</w:t>
      </w:r>
    </w:p>
    <w:p w:rsidR="00000000" w:rsidDel="00000000" w:rsidP="00000000" w:rsidRDefault="00000000" w:rsidRPr="00000000" w14:paraId="00000165">
      <w:pPr>
        <w:numPr>
          <w:ilvl w:val="0"/>
          <w:numId w:val="19"/>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entity has transferred physical possession of the asset</w:t>
      </w:r>
    </w:p>
    <w:p w:rsidR="00000000" w:rsidDel="00000000" w:rsidP="00000000" w:rsidRDefault="00000000" w:rsidRPr="00000000" w14:paraId="00000166">
      <w:pPr>
        <w:numPr>
          <w:ilvl w:val="0"/>
          <w:numId w:val="19"/>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customer has the significant risks and rewards of ownership of the asset (to that end, we analyze incoterms applied) </w:t>
      </w:r>
    </w:p>
    <w:p w:rsidR="00000000" w:rsidDel="00000000" w:rsidP="00000000" w:rsidRDefault="00000000" w:rsidRPr="00000000" w14:paraId="00000167">
      <w:pPr>
        <w:numPr>
          <w:ilvl w:val="0"/>
          <w:numId w:val="19"/>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The customer has accepted the asset</w:t>
      </w:r>
    </w:p>
    <w:p w:rsidR="00000000" w:rsidDel="00000000" w:rsidP="00000000" w:rsidRDefault="00000000" w:rsidRPr="00000000" w14:paraId="00000168">
      <w:pPr>
        <w:pStyle w:val="Heading1"/>
        <w:numPr>
          <w:ilvl w:val="0"/>
          <w:numId w:val="23"/>
        </w:numPr>
        <w:ind w:left="720" w:hanging="360"/>
        <w:rPr/>
      </w:pPr>
      <w:bookmarkStart w:colFirst="0" w:colLast="0" w:name="_heading=h.4xer7fte6apj" w:id="20"/>
      <w:bookmarkEnd w:id="20"/>
      <w:r w:rsidDel="00000000" w:rsidR="00000000" w:rsidRPr="00000000">
        <w:rPr>
          <w:rtl w:val="0"/>
        </w:rPr>
        <w:t xml:space="preserve">Other topics</w:t>
      </w:r>
    </w:p>
    <w:p w:rsidR="00000000" w:rsidDel="00000000" w:rsidP="00000000" w:rsidRDefault="00000000" w:rsidRPr="00000000" w14:paraId="00000169">
      <w:pPr>
        <w:pStyle w:val="Heading2"/>
        <w:numPr>
          <w:ilvl w:val="0"/>
          <w:numId w:val="32"/>
        </w:numPr>
        <w:ind w:left="1440" w:hanging="360"/>
        <w:rPr/>
      </w:pPr>
      <w:bookmarkStart w:colFirst="0" w:colLast="0" w:name="_heading=h.dgcb0cgjk7u8" w:id="21"/>
      <w:bookmarkEnd w:id="21"/>
      <w:r w:rsidDel="00000000" w:rsidR="00000000" w:rsidRPr="00000000">
        <w:rPr>
          <w:rtl w:val="0"/>
        </w:rPr>
        <w:t xml:space="preserve">Customer take or pay obligations</w:t>
      </w:r>
    </w:p>
    <w:p w:rsidR="00000000" w:rsidDel="00000000" w:rsidP="00000000" w:rsidRDefault="00000000" w:rsidRPr="00000000" w14:paraId="0000016A">
      <w:pPr>
        <w:jc w:val="both"/>
        <w:rPr>
          <w:sz w:val="24"/>
          <w:szCs w:val="24"/>
        </w:rPr>
      </w:pPr>
      <w:r w:rsidDel="00000000" w:rsidR="00000000" w:rsidRPr="00000000">
        <w:rPr>
          <w:sz w:val="24"/>
          <w:szCs w:val="24"/>
          <w:rtl w:val="0"/>
        </w:rPr>
        <w:t xml:space="preserve">For volumes not taken, but expected to be paid for:</w:t>
      </w:r>
    </w:p>
    <w:p w:rsidR="00000000" w:rsidDel="00000000" w:rsidP="00000000" w:rsidRDefault="00000000" w:rsidRPr="00000000" w14:paraId="0000016B">
      <w:pPr>
        <w:numPr>
          <w:ilvl w:val="0"/>
          <w:numId w:val="20"/>
        </w:numPr>
        <w:pBdr>
          <w:top w:space="0" w:sz="0" w:val="nil"/>
          <w:left w:space="0" w:sz="0" w:val="nil"/>
          <w:bottom w:space="0" w:sz="0" w:val="nil"/>
          <w:right w:space="0" w:sz="0" w:val="nil"/>
          <w:between w:space="0" w:sz="0" w:val="nil"/>
        </w:pBdr>
        <w:spacing w:after="0" w:lineRule="auto"/>
        <w:ind w:left="426" w:hanging="360"/>
        <w:jc w:val="both"/>
        <w:rPr>
          <w:color w:val="000000"/>
          <w:sz w:val="24"/>
          <w:szCs w:val="24"/>
        </w:rPr>
      </w:pPr>
      <w:r w:rsidDel="00000000" w:rsidR="00000000" w:rsidRPr="00000000">
        <w:rPr>
          <w:color w:val="000000"/>
          <w:sz w:val="24"/>
          <w:szCs w:val="24"/>
          <w:rtl w:val="0"/>
        </w:rPr>
        <w:t xml:space="preserve">Customer is not entitled to future make-up volumes: revenue is recognized at the expiration of the stated take-or-pay period (e.g., every 12 months) as </w:t>
      </w:r>
      <w:r w:rsidDel="00000000" w:rsidR="00000000" w:rsidRPr="00000000">
        <w:rPr>
          <w:sz w:val="24"/>
          <w:szCs w:val="24"/>
          <w:rtl w:val="0"/>
        </w:rPr>
        <w:t xml:space="preserve">Syensqo</w:t>
      </w:r>
      <w:r w:rsidDel="00000000" w:rsidR="00000000" w:rsidRPr="00000000">
        <w:rPr>
          <w:color w:val="000000"/>
          <w:sz w:val="24"/>
          <w:szCs w:val="24"/>
          <w:rtl w:val="0"/>
        </w:rPr>
        <w:t xml:space="preserve"> has no further performance obligations (i.e., it has no obligation to deliver the unused volumes in the future). Also, the customer is not contractually obliged to pay the amount for the unused volumes until this time (i.e., the entity does not have an unconditional right to receive cash).</w:t>
      </w:r>
    </w:p>
    <w:p w:rsidR="00000000" w:rsidDel="00000000" w:rsidP="00000000" w:rsidRDefault="00000000" w:rsidRPr="00000000" w14:paraId="0000016C">
      <w:pPr>
        <w:numPr>
          <w:ilvl w:val="0"/>
          <w:numId w:val="20"/>
        </w:numPr>
        <w:pBdr>
          <w:top w:space="0" w:sz="0" w:val="nil"/>
          <w:left w:space="0" w:sz="0" w:val="nil"/>
          <w:bottom w:space="0" w:sz="0" w:val="nil"/>
          <w:right w:space="0" w:sz="0" w:val="nil"/>
          <w:between w:space="0" w:sz="0" w:val="nil"/>
        </w:pBdr>
        <w:ind w:left="426" w:hanging="360"/>
        <w:jc w:val="both"/>
        <w:rPr>
          <w:color w:val="000000"/>
          <w:sz w:val="24"/>
          <w:szCs w:val="24"/>
        </w:rPr>
      </w:pPr>
      <w:r w:rsidDel="00000000" w:rsidR="00000000" w:rsidRPr="00000000">
        <w:rPr>
          <w:color w:val="000000"/>
          <w:sz w:val="24"/>
          <w:szCs w:val="24"/>
          <w:rtl w:val="0"/>
        </w:rPr>
        <w:t xml:space="preserve">Customer is entitled to future make-up volumes: the amount due by the customer is recognized as deferred/unearned revenue, and is recognized as revenue at earliest of (a) the moment of future make-up deliveries or (b) when the right to make-up deliveries expires unused. </w:t>
      </w:r>
    </w:p>
    <w:p w:rsidR="00000000" w:rsidDel="00000000" w:rsidP="00000000" w:rsidRDefault="00000000" w:rsidRPr="00000000" w14:paraId="0000016D">
      <w:pPr>
        <w:jc w:val="both"/>
        <w:rPr>
          <w:sz w:val="24"/>
          <w:szCs w:val="24"/>
        </w:rPr>
      </w:pPr>
      <w:r w:rsidDel="00000000" w:rsidR="00000000" w:rsidRPr="00000000">
        <w:rPr>
          <w:sz w:val="24"/>
          <w:szCs w:val="24"/>
          <w:rtl w:val="0"/>
        </w:rPr>
        <w:t xml:space="preserve">Additionally, if Syensqo does not expect to bill the amount – for example, for commercial reasons – no revenue is recognized until agreement on incremental billings has been reached with the customer. </w:t>
      </w:r>
    </w:p>
    <w:p w:rsidR="00000000" w:rsidDel="00000000" w:rsidP="00000000" w:rsidRDefault="00000000" w:rsidRPr="00000000" w14:paraId="0000016E">
      <w:pPr>
        <w:jc w:val="both"/>
        <w:rPr>
          <w:sz w:val="24"/>
          <w:szCs w:val="24"/>
        </w:rPr>
      </w:pPr>
      <w:r w:rsidDel="00000000" w:rsidR="00000000" w:rsidRPr="00000000">
        <w:rPr>
          <w:rtl w:val="0"/>
        </w:rPr>
      </w:r>
    </w:p>
    <w:p w:rsidR="00000000" w:rsidDel="00000000" w:rsidP="00000000" w:rsidRDefault="00000000" w:rsidRPr="00000000" w14:paraId="0000016F">
      <w:pPr>
        <w:pStyle w:val="Heading2"/>
        <w:numPr>
          <w:ilvl w:val="0"/>
          <w:numId w:val="32"/>
        </w:numPr>
        <w:ind w:left="1440" w:hanging="360"/>
        <w:rPr/>
      </w:pPr>
      <w:bookmarkStart w:colFirst="0" w:colLast="0" w:name="_heading=h.n6a78y47r4t1" w:id="22"/>
      <w:bookmarkEnd w:id="22"/>
      <w:r w:rsidDel="00000000" w:rsidR="00000000" w:rsidRPr="00000000">
        <w:rPr>
          <w:rtl w:val="0"/>
        </w:rPr>
        <w:t xml:space="preserve">Non-monetary exchanges (“swaps”)</w:t>
      </w:r>
    </w:p>
    <w:p w:rsidR="00000000" w:rsidDel="00000000" w:rsidP="00000000" w:rsidRDefault="00000000" w:rsidRPr="00000000" w14:paraId="00000170">
      <w:pPr>
        <w:pStyle w:val="Heading3"/>
        <w:numPr>
          <w:ilvl w:val="0"/>
          <w:numId w:val="35"/>
        </w:numPr>
        <w:ind w:left="426" w:hanging="360"/>
        <w:rPr/>
      </w:pPr>
      <w:bookmarkStart w:colFirst="0" w:colLast="0" w:name="_heading=h.5aay49s4vro" w:id="23"/>
      <w:bookmarkEnd w:id="23"/>
      <w:r w:rsidDel="00000000" w:rsidR="00000000" w:rsidRPr="00000000">
        <w:rPr>
          <w:rtl w:val="0"/>
        </w:rPr>
        <w:t xml:space="preserve">Scope</w:t>
      </w:r>
    </w:p>
    <w:p w:rsidR="00000000" w:rsidDel="00000000" w:rsidP="00000000" w:rsidRDefault="00000000" w:rsidRPr="00000000" w14:paraId="00000171">
      <w:pPr>
        <w:jc w:val="both"/>
        <w:rPr>
          <w:sz w:val="24"/>
          <w:szCs w:val="24"/>
        </w:rPr>
      </w:pPr>
      <w:r w:rsidDel="00000000" w:rsidR="00000000" w:rsidRPr="00000000">
        <w:rPr>
          <w:sz w:val="24"/>
          <w:szCs w:val="24"/>
          <w:rtl w:val="0"/>
        </w:rPr>
        <w:t xml:space="preserve">This section explains how to account for swap contracts with other entities in the same line of business to facilitate sales to customers or potential customers. There are time swaps and geographical swaps. They are generally entered into in order to optimize production costs, and time needed to produce, by exchanging raw materials, intermediary goods or finished goods with the other entity. Under these agreements, Syensqo would swap similar or dissimilar goods with those other entities based on both customer’s needs and available resources in different regions. The separate buy and sell transactions could take place during different reporting periods or including different years.</w:t>
      </w:r>
    </w:p>
    <w:p w:rsidR="00000000" w:rsidDel="00000000" w:rsidP="00000000" w:rsidRDefault="00000000" w:rsidRPr="00000000" w14:paraId="00000172">
      <w:pPr>
        <w:jc w:val="both"/>
        <w:rPr>
          <w:sz w:val="24"/>
          <w:szCs w:val="24"/>
        </w:rPr>
      </w:pPr>
      <w:r w:rsidDel="00000000" w:rsidR="00000000" w:rsidRPr="00000000">
        <w:rPr>
          <w:sz w:val="24"/>
          <w:szCs w:val="24"/>
          <w:rtl w:val="0"/>
        </w:rPr>
        <w:t xml:space="preserve">For example, a Syensqo entity in Brazil may buy goods from a competitor in Brazil to serve its customers located in the country. In exchange, a Syensqo entity in Europe would sell to the competitor similar or dissimilar goods in Europe.</w:t>
      </w:r>
    </w:p>
    <w:p w:rsidR="00000000" w:rsidDel="00000000" w:rsidP="00000000" w:rsidRDefault="00000000" w:rsidRPr="00000000" w14:paraId="00000173">
      <w:pPr>
        <w:jc w:val="both"/>
        <w:rPr>
          <w:sz w:val="24"/>
          <w:szCs w:val="24"/>
        </w:rPr>
      </w:pPr>
      <w:r w:rsidDel="00000000" w:rsidR="00000000" w:rsidRPr="00000000">
        <w:rPr>
          <w:sz w:val="24"/>
          <w:szCs w:val="24"/>
          <w:rtl w:val="0"/>
        </w:rPr>
        <w:t xml:space="preserve">Such swap contracts contain both a purchase and a sales leg of which the fair values generally are comparable. In some cases, contracts contain a swap as well as a sale or purchase. </w:t>
      </w:r>
    </w:p>
    <w:p w:rsidR="00000000" w:rsidDel="00000000" w:rsidP="00000000" w:rsidRDefault="00000000" w:rsidRPr="00000000" w14:paraId="00000174">
      <w:pPr>
        <w:pStyle w:val="Heading3"/>
        <w:numPr>
          <w:ilvl w:val="0"/>
          <w:numId w:val="35"/>
        </w:numPr>
        <w:ind w:left="426" w:hanging="360"/>
        <w:rPr/>
      </w:pPr>
      <w:bookmarkStart w:colFirst="0" w:colLast="0" w:name="_heading=h.a1xd5wt6z6d4" w:id="24"/>
      <w:bookmarkEnd w:id="24"/>
      <w:r w:rsidDel="00000000" w:rsidR="00000000" w:rsidRPr="00000000">
        <w:rPr>
          <w:rtl w:val="0"/>
        </w:rPr>
        <w:t xml:space="preserve">Accounting treatment </w:t>
      </w:r>
    </w:p>
    <w:p w:rsidR="00000000" w:rsidDel="00000000" w:rsidP="00000000" w:rsidRDefault="00000000" w:rsidRPr="00000000" w14:paraId="00000175">
      <w:pPr>
        <w:jc w:val="both"/>
        <w:rPr/>
      </w:pPr>
      <w:r w:rsidDel="00000000" w:rsidR="00000000" w:rsidRPr="00000000">
        <w:rPr>
          <w:sz w:val="24"/>
          <w:szCs w:val="24"/>
          <w:rtl w:val="0"/>
        </w:rPr>
        <w:t xml:space="preserve">Non-monetary exchanges of goods with entities in the same line of business do not result in the recognition of revenue.  The rationale is that, because the sale occurs (a) with an entity in the same line of business, (b) contingent on a purchase, and (c) so to facilitate the actual sales to Syensqo’s customers, no real sale has actually occurred when executing the sales leg in the swap transaction</w:t>
      </w:r>
      <w:r w:rsidDel="00000000" w:rsidR="00000000" w:rsidRPr="00000000">
        <w:rPr>
          <w:rtl w:val="0"/>
        </w:rPr>
        <w:t xml:space="preserve">.  </w:t>
      </w:r>
    </w:p>
    <w:p w:rsidR="00000000" w:rsidDel="00000000" w:rsidP="00000000" w:rsidRDefault="00000000" w:rsidRPr="00000000" w14:paraId="00000176">
      <w:pPr>
        <w:pStyle w:val="Heading3"/>
        <w:numPr>
          <w:ilvl w:val="0"/>
          <w:numId w:val="35"/>
        </w:numPr>
        <w:ind w:left="426" w:hanging="360"/>
        <w:rPr/>
      </w:pPr>
      <w:bookmarkStart w:colFirst="0" w:colLast="0" w:name="_heading=h.4hxdz7l6p0mo" w:id="25"/>
      <w:bookmarkEnd w:id="25"/>
      <w:r w:rsidDel="00000000" w:rsidR="00000000" w:rsidRPr="00000000">
        <w:rPr>
          <w:rtl w:val="0"/>
        </w:rPr>
        <w:t xml:space="preserve">Accounting entries </w:t>
      </w:r>
    </w:p>
    <w:p w:rsidR="00000000" w:rsidDel="00000000" w:rsidP="00000000" w:rsidRDefault="00000000" w:rsidRPr="00000000" w14:paraId="00000177">
      <w:pPr>
        <w:jc w:val="both"/>
        <w:rPr>
          <w:sz w:val="24"/>
          <w:szCs w:val="24"/>
        </w:rPr>
      </w:pPr>
      <w:r w:rsidDel="00000000" w:rsidR="00000000" w:rsidRPr="00000000">
        <w:rPr>
          <w:sz w:val="24"/>
          <w:szCs w:val="24"/>
          <w:rtl w:val="0"/>
        </w:rPr>
        <w:t xml:space="preserve">Example (excluding tax impacts):</w:t>
      </w:r>
    </w:p>
    <w:p w:rsidR="00000000" w:rsidDel="00000000" w:rsidP="00000000" w:rsidRDefault="00000000" w:rsidRPr="00000000" w14:paraId="00000178">
      <w:pPr>
        <w:jc w:val="both"/>
        <w:rPr>
          <w:sz w:val="24"/>
          <w:szCs w:val="24"/>
        </w:rPr>
      </w:pPr>
      <w:r w:rsidDel="00000000" w:rsidR="00000000" w:rsidRPr="00000000">
        <w:rPr>
          <w:sz w:val="24"/>
          <w:szCs w:val="24"/>
          <w:rtl w:val="0"/>
        </w:rPr>
        <w:t xml:space="preserve">•</w:t>
        <w:tab/>
        <w:t xml:space="preserve">Syensqo’s production cost of the swapped goods A 900</w:t>
      </w:r>
    </w:p>
    <w:p w:rsidR="00000000" w:rsidDel="00000000" w:rsidP="00000000" w:rsidRDefault="00000000" w:rsidRPr="00000000" w14:paraId="00000179">
      <w:pPr>
        <w:jc w:val="both"/>
        <w:rPr>
          <w:sz w:val="24"/>
          <w:szCs w:val="24"/>
        </w:rPr>
      </w:pPr>
      <w:r w:rsidDel="00000000" w:rsidR="00000000" w:rsidRPr="00000000">
        <w:rPr>
          <w:sz w:val="24"/>
          <w:szCs w:val="24"/>
          <w:rtl w:val="0"/>
        </w:rPr>
        <w:t xml:space="preserve">•</w:t>
        <w:tab/>
        <w:t xml:space="preserve">Price at which goods A are sold to the third party entity 970</w:t>
      </w:r>
    </w:p>
    <w:p w:rsidR="00000000" w:rsidDel="00000000" w:rsidP="00000000" w:rsidRDefault="00000000" w:rsidRPr="00000000" w14:paraId="0000017A">
      <w:pPr>
        <w:jc w:val="both"/>
        <w:rPr>
          <w:sz w:val="24"/>
          <w:szCs w:val="24"/>
        </w:rPr>
      </w:pPr>
      <w:r w:rsidDel="00000000" w:rsidR="00000000" w:rsidRPr="00000000">
        <w:rPr>
          <w:sz w:val="24"/>
          <w:szCs w:val="24"/>
          <w:rtl w:val="0"/>
        </w:rPr>
        <w:t xml:space="preserve">•</w:t>
        <w:tab/>
        <w:t xml:space="preserve">Price at which goods B are bought from the third party entity 1.000</w:t>
      </w:r>
    </w:p>
    <w:p w:rsidR="00000000" w:rsidDel="00000000" w:rsidP="00000000" w:rsidRDefault="00000000" w:rsidRPr="00000000" w14:paraId="0000017B">
      <w:pPr>
        <w:jc w:val="both"/>
        <w:rPr>
          <w:sz w:val="24"/>
          <w:szCs w:val="24"/>
        </w:rPr>
      </w:pPr>
      <w:r w:rsidDel="00000000" w:rsidR="00000000" w:rsidRPr="00000000">
        <w:rPr>
          <w:sz w:val="24"/>
          <w:szCs w:val="24"/>
          <w:rtl w:val="0"/>
        </w:rPr>
        <w:t xml:space="preserve">•</w:t>
        <w:tab/>
        <w:t xml:space="preserve">Price at which Syensqo sells the goods to its customers 1.060</w:t>
      </w:r>
    </w:p>
    <w:p w:rsidR="00000000" w:rsidDel="00000000" w:rsidP="00000000" w:rsidRDefault="00000000" w:rsidRPr="00000000" w14:paraId="0000017C">
      <w:pPr>
        <w:pStyle w:val="Heading3"/>
        <w:numPr>
          <w:ilvl w:val="1"/>
          <w:numId w:val="35"/>
        </w:numPr>
        <w:ind w:left="1440" w:hanging="360"/>
        <w:rPr/>
      </w:pPr>
      <w:bookmarkStart w:colFirst="0" w:colLast="0" w:name="_heading=h.4fynip4aje2p" w:id="26"/>
      <w:bookmarkEnd w:id="26"/>
      <w:r w:rsidDel="00000000" w:rsidR="00000000" w:rsidRPr="00000000">
        <w:rPr>
          <w:sz w:val="24"/>
          <w:szCs w:val="24"/>
          <w:rtl w:val="0"/>
        </w:rPr>
        <w:t xml:space="preserve">Swap</w:t>
      </w:r>
      <w:r w:rsidDel="00000000" w:rsidR="00000000" w:rsidRPr="00000000">
        <w:rPr>
          <w:rtl w:val="0"/>
        </w:rPr>
        <w:t xml:space="preserve"> example 1 - Sale followed by a purchase</w:t>
      </w:r>
    </w:p>
    <w:p w:rsidR="00000000" w:rsidDel="00000000" w:rsidP="00000000" w:rsidRDefault="00000000" w:rsidRPr="00000000" w14:paraId="0000017D">
      <w:pPr>
        <w:rPr>
          <w:sz w:val="24"/>
          <w:szCs w:val="24"/>
        </w:rPr>
      </w:pPr>
      <w:r w:rsidDel="00000000" w:rsidR="00000000" w:rsidRPr="00000000">
        <w:rPr>
          <w:sz w:val="24"/>
          <w:szCs w:val="24"/>
          <w:rtl w:val="0"/>
        </w:rPr>
        <w:t xml:space="preserve">Suppose Syensqo sells goods A in Europe then purchases the goods B in Brazil.</w:t>
      </w:r>
    </w:p>
    <w:p w:rsidR="00000000" w:rsidDel="00000000" w:rsidP="00000000" w:rsidRDefault="00000000" w:rsidRPr="00000000" w14:paraId="0000017E">
      <w:pPr>
        <w:rPr>
          <w:sz w:val="24"/>
          <w:szCs w:val="24"/>
          <w:u w:val="single"/>
        </w:rPr>
      </w:pPr>
      <w:r w:rsidDel="00000000" w:rsidR="00000000" w:rsidRPr="00000000">
        <w:rPr>
          <w:sz w:val="24"/>
          <w:szCs w:val="24"/>
          <w:u w:val="single"/>
          <w:rtl w:val="0"/>
        </w:rPr>
        <w:t xml:space="preserve">First leg of the swap </w:t>
      </w:r>
    </w:p>
    <w:p w:rsidR="00000000" w:rsidDel="00000000" w:rsidP="00000000" w:rsidRDefault="00000000" w:rsidRPr="00000000" w14:paraId="0000017F">
      <w:pPr>
        <w:rPr>
          <w:sz w:val="24"/>
          <w:szCs w:val="24"/>
        </w:rPr>
      </w:pPr>
      <w:r w:rsidDel="00000000" w:rsidR="00000000" w:rsidRPr="00000000">
        <w:rPr>
          <w:sz w:val="24"/>
          <w:szCs w:val="24"/>
          <w:rtl w:val="0"/>
        </w:rPr>
        <w:t xml:space="preserve">Sale of goods A in Europe to the third party entity:</w:t>
      </w:r>
    </w:p>
    <w:tbl>
      <w:tblPr>
        <w:tblStyle w:val="Table6"/>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71"/>
        <w:gridCol w:w="1261"/>
        <w:gridCol w:w="1064"/>
        <w:tblGridChange w:id="0">
          <w:tblGrid>
            <w:gridCol w:w="7071"/>
            <w:gridCol w:w="1261"/>
            <w:gridCol w:w="1064"/>
          </w:tblGrid>
        </w:tblGridChange>
      </w:tblGrid>
      <w:tr>
        <w:trPr>
          <w:cantSplit w:val="0"/>
          <w:tblHeader w:val="0"/>
        </w:trPr>
        <w:tc>
          <w:tcPr/>
          <w:p w:rsidR="00000000" w:rsidDel="00000000" w:rsidP="00000000" w:rsidRDefault="00000000" w:rsidRPr="00000000" w14:paraId="00000180">
            <w:pPr>
              <w:rPr>
                <w:sz w:val="24"/>
                <w:szCs w:val="24"/>
              </w:rPr>
            </w:pPr>
            <w:r w:rsidDel="00000000" w:rsidR="00000000" w:rsidRPr="00000000">
              <w:rPr>
                <w:sz w:val="24"/>
                <w:szCs w:val="24"/>
                <w:rtl w:val="0"/>
              </w:rPr>
              <w:t xml:space="preserve">Accounts receivables / Cash</w:t>
            </w:r>
          </w:p>
        </w:tc>
        <w:tc>
          <w:tcPr/>
          <w:p w:rsidR="00000000" w:rsidDel="00000000" w:rsidP="00000000" w:rsidRDefault="00000000" w:rsidRPr="00000000" w14:paraId="00000181">
            <w:pPr>
              <w:jc w:val="right"/>
              <w:rPr>
                <w:sz w:val="24"/>
                <w:szCs w:val="24"/>
              </w:rPr>
            </w:pPr>
            <w:r w:rsidDel="00000000" w:rsidR="00000000" w:rsidRPr="00000000">
              <w:rPr>
                <w:sz w:val="24"/>
                <w:szCs w:val="24"/>
                <w:rtl w:val="0"/>
              </w:rPr>
              <w:t xml:space="preserve">970</w:t>
            </w:r>
          </w:p>
        </w:tc>
        <w:tc>
          <w:tcPr/>
          <w:p w:rsidR="00000000" w:rsidDel="00000000" w:rsidP="00000000" w:rsidRDefault="00000000" w:rsidRPr="00000000" w14:paraId="00000182">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83">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184">
            <w:pPr>
              <w:jc w:val="right"/>
              <w:rPr>
                <w:sz w:val="24"/>
                <w:szCs w:val="24"/>
              </w:rPr>
            </w:pPr>
            <w:r w:rsidDel="00000000" w:rsidR="00000000" w:rsidRPr="00000000">
              <w:rPr>
                <w:rtl w:val="0"/>
              </w:rPr>
            </w:r>
          </w:p>
        </w:tc>
        <w:tc>
          <w:tcPr/>
          <w:p w:rsidR="00000000" w:rsidDel="00000000" w:rsidP="00000000" w:rsidRDefault="00000000" w:rsidRPr="00000000" w14:paraId="00000185">
            <w:pPr>
              <w:jc w:val="right"/>
              <w:rPr>
                <w:sz w:val="24"/>
                <w:szCs w:val="24"/>
              </w:rPr>
            </w:pPr>
            <w:r w:rsidDel="00000000" w:rsidR="00000000" w:rsidRPr="00000000">
              <w:rPr>
                <w:sz w:val="24"/>
                <w:szCs w:val="24"/>
                <w:rtl w:val="0"/>
              </w:rPr>
              <w:t xml:space="preserve">970</w:t>
            </w:r>
          </w:p>
        </w:tc>
      </w:tr>
      <w:tr>
        <w:trPr>
          <w:cantSplit w:val="0"/>
          <w:tblHeader w:val="0"/>
        </w:trPr>
        <w:tc>
          <w:tcPr/>
          <w:p w:rsidR="00000000" w:rsidDel="00000000" w:rsidP="00000000" w:rsidRDefault="00000000" w:rsidRPr="00000000" w14:paraId="00000186">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187">
            <w:pPr>
              <w:jc w:val="right"/>
              <w:rPr>
                <w:sz w:val="24"/>
                <w:szCs w:val="24"/>
              </w:rPr>
            </w:pPr>
            <w:r w:rsidDel="00000000" w:rsidR="00000000" w:rsidRPr="00000000">
              <w:rPr>
                <w:sz w:val="24"/>
                <w:szCs w:val="24"/>
                <w:rtl w:val="0"/>
              </w:rPr>
              <w:t xml:space="preserve">900</w:t>
            </w:r>
          </w:p>
        </w:tc>
        <w:tc>
          <w:tcPr/>
          <w:p w:rsidR="00000000" w:rsidDel="00000000" w:rsidP="00000000" w:rsidRDefault="00000000" w:rsidRPr="00000000" w14:paraId="00000188">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89">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18A">
            <w:pPr>
              <w:jc w:val="right"/>
              <w:rPr>
                <w:sz w:val="24"/>
                <w:szCs w:val="24"/>
              </w:rPr>
            </w:pPr>
            <w:r w:rsidDel="00000000" w:rsidR="00000000" w:rsidRPr="00000000">
              <w:rPr>
                <w:rtl w:val="0"/>
              </w:rPr>
            </w:r>
          </w:p>
        </w:tc>
        <w:tc>
          <w:tcPr/>
          <w:p w:rsidR="00000000" w:rsidDel="00000000" w:rsidP="00000000" w:rsidRDefault="00000000" w:rsidRPr="00000000" w14:paraId="0000018B">
            <w:pPr>
              <w:jc w:val="right"/>
              <w:rPr>
                <w:sz w:val="24"/>
                <w:szCs w:val="24"/>
              </w:rPr>
            </w:pPr>
            <w:r w:rsidDel="00000000" w:rsidR="00000000" w:rsidRPr="00000000">
              <w:rPr>
                <w:sz w:val="24"/>
                <w:szCs w:val="24"/>
                <w:rtl w:val="0"/>
              </w:rPr>
              <w:t xml:space="preserve">900</w:t>
            </w:r>
          </w:p>
        </w:tc>
      </w:tr>
    </w:tbl>
    <w:p w:rsidR="00000000" w:rsidDel="00000000" w:rsidP="00000000" w:rsidRDefault="00000000" w:rsidRPr="00000000" w14:paraId="0000018C">
      <w:pPr>
        <w:rPr>
          <w:sz w:val="24"/>
          <w:szCs w:val="24"/>
        </w:rPr>
      </w:pPr>
      <w:r w:rsidDel="00000000" w:rsidR="00000000" w:rsidRPr="00000000">
        <w:rPr>
          <w:rtl w:val="0"/>
        </w:rPr>
      </w:r>
    </w:p>
    <w:p w:rsidR="00000000" w:rsidDel="00000000" w:rsidP="00000000" w:rsidRDefault="00000000" w:rsidRPr="00000000" w14:paraId="0000018D">
      <w:pPr>
        <w:rPr>
          <w:sz w:val="24"/>
          <w:szCs w:val="24"/>
        </w:rPr>
      </w:pPr>
      <w:r w:rsidDel="00000000" w:rsidR="00000000" w:rsidRPr="00000000">
        <w:rPr>
          <w:sz w:val="24"/>
          <w:szCs w:val="24"/>
          <w:rtl w:val="0"/>
        </w:rPr>
        <w:t xml:space="preserve">Entries for Syensqo reporting purposes eliminating the sales (to be booked in the package):</w:t>
      </w:r>
    </w:p>
    <w:tbl>
      <w:tblPr>
        <w:tblStyle w:val="Table7"/>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71"/>
        <w:gridCol w:w="1261"/>
        <w:gridCol w:w="1064"/>
        <w:tblGridChange w:id="0">
          <w:tblGrid>
            <w:gridCol w:w="7071"/>
            <w:gridCol w:w="1261"/>
            <w:gridCol w:w="1064"/>
          </w:tblGrid>
        </w:tblGridChange>
      </w:tblGrid>
      <w:tr>
        <w:trPr>
          <w:cantSplit w:val="0"/>
          <w:tblHeader w:val="0"/>
        </w:trPr>
        <w:tc>
          <w:tcPr/>
          <w:p w:rsidR="00000000" w:rsidDel="00000000" w:rsidP="00000000" w:rsidRDefault="00000000" w:rsidRPr="00000000" w14:paraId="0000018E">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18F">
            <w:pPr>
              <w:jc w:val="right"/>
              <w:rPr>
                <w:sz w:val="24"/>
                <w:szCs w:val="24"/>
              </w:rPr>
            </w:pPr>
            <w:r w:rsidDel="00000000" w:rsidR="00000000" w:rsidRPr="00000000">
              <w:rPr>
                <w:sz w:val="24"/>
                <w:szCs w:val="24"/>
                <w:rtl w:val="0"/>
              </w:rPr>
              <w:t xml:space="preserve">970</w:t>
            </w:r>
          </w:p>
        </w:tc>
        <w:tc>
          <w:tcPr/>
          <w:p w:rsidR="00000000" w:rsidDel="00000000" w:rsidP="00000000" w:rsidRDefault="00000000" w:rsidRPr="00000000" w14:paraId="00000190">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91">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192">
            <w:pPr>
              <w:jc w:val="right"/>
              <w:rPr>
                <w:sz w:val="24"/>
                <w:szCs w:val="24"/>
              </w:rPr>
            </w:pPr>
            <w:r w:rsidDel="00000000" w:rsidR="00000000" w:rsidRPr="00000000">
              <w:rPr>
                <w:rtl w:val="0"/>
              </w:rPr>
            </w:r>
          </w:p>
        </w:tc>
        <w:tc>
          <w:tcPr/>
          <w:p w:rsidR="00000000" w:rsidDel="00000000" w:rsidP="00000000" w:rsidRDefault="00000000" w:rsidRPr="00000000" w14:paraId="00000193">
            <w:pPr>
              <w:jc w:val="right"/>
              <w:rPr>
                <w:sz w:val="24"/>
                <w:szCs w:val="24"/>
              </w:rPr>
            </w:pPr>
            <w:r w:rsidDel="00000000" w:rsidR="00000000" w:rsidRPr="00000000">
              <w:rPr>
                <w:sz w:val="24"/>
                <w:szCs w:val="24"/>
                <w:rtl w:val="0"/>
              </w:rPr>
              <w:t xml:space="preserve">900</w:t>
            </w:r>
          </w:p>
        </w:tc>
      </w:tr>
      <w:tr>
        <w:trPr>
          <w:cantSplit w:val="0"/>
          <w:tblHeader w:val="0"/>
        </w:trPr>
        <w:tc>
          <w:tcPr/>
          <w:p w:rsidR="00000000" w:rsidDel="00000000" w:rsidP="00000000" w:rsidRDefault="00000000" w:rsidRPr="00000000" w14:paraId="00000194">
            <w:pPr>
              <w:rPr>
                <w:sz w:val="24"/>
                <w:szCs w:val="24"/>
              </w:rPr>
            </w:pPr>
            <w:r w:rsidDel="00000000" w:rsidR="00000000" w:rsidRPr="00000000">
              <w:rPr>
                <w:sz w:val="24"/>
                <w:szCs w:val="24"/>
                <w:rtl w:val="0"/>
              </w:rPr>
              <w:t xml:space="preserve">Temporary swap accounts </w:t>
            </w:r>
          </w:p>
        </w:tc>
        <w:tc>
          <w:tcPr/>
          <w:p w:rsidR="00000000" w:rsidDel="00000000" w:rsidP="00000000" w:rsidRDefault="00000000" w:rsidRPr="00000000" w14:paraId="00000195">
            <w:pPr>
              <w:jc w:val="right"/>
              <w:rPr>
                <w:sz w:val="24"/>
                <w:szCs w:val="24"/>
              </w:rPr>
            </w:pPr>
            <w:r w:rsidDel="00000000" w:rsidR="00000000" w:rsidRPr="00000000">
              <w:rPr>
                <w:rtl w:val="0"/>
              </w:rPr>
            </w:r>
          </w:p>
        </w:tc>
        <w:tc>
          <w:tcPr/>
          <w:p w:rsidR="00000000" w:rsidDel="00000000" w:rsidP="00000000" w:rsidRDefault="00000000" w:rsidRPr="00000000" w14:paraId="00000196">
            <w:pPr>
              <w:jc w:val="right"/>
              <w:rPr>
                <w:sz w:val="24"/>
                <w:szCs w:val="24"/>
              </w:rPr>
            </w:pPr>
            <w:r w:rsidDel="00000000" w:rsidR="00000000" w:rsidRPr="00000000">
              <w:rPr>
                <w:sz w:val="24"/>
                <w:szCs w:val="24"/>
                <w:rtl w:val="0"/>
              </w:rPr>
              <w:t xml:space="preserve">70</w:t>
            </w:r>
          </w:p>
        </w:tc>
      </w:tr>
    </w:tbl>
    <w:p w:rsidR="00000000" w:rsidDel="00000000" w:rsidP="00000000" w:rsidRDefault="00000000" w:rsidRPr="00000000" w14:paraId="00000197">
      <w:pPr>
        <w:rPr>
          <w:sz w:val="24"/>
          <w:szCs w:val="24"/>
        </w:rPr>
      </w:pPr>
      <w:r w:rsidDel="00000000" w:rsidR="00000000" w:rsidRPr="00000000">
        <w:rPr>
          <w:rtl w:val="0"/>
        </w:rPr>
      </w:r>
    </w:p>
    <w:p w:rsidR="00000000" w:rsidDel="00000000" w:rsidP="00000000" w:rsidRDefault="00000000" w:rsidRPr="00000000" w14:paraId="00000198">
      <w:pPr>
        <w:jc w:val="both"/>
        <w:rPr>
          <w:sz w:val="24"/>
          <w:szCs w:val="24"/>
        </w:rPr>
      </w:pPr>
      <w:r w:rsidDel="00000000" w:rsidR="00000000" w:rsidRPr="00000000">
        <w:rPr>
          <w:sz w:val="24"/>
          <w:szCs w:val="24"/>
          <w:rtl w:val="0"/>
        </w:rPr>
        <w:t xml:space="preserve">The temporary swap account in the balance sheet reflects the margin of the transaction, which is equal to the difference between the price paid by the entity and the inventory cost for Syensqo, or 970 - 900 = 70. </w:t>
      </w:r>
    </w:p>
    <w:p w:rsidR="00000000" w:rsidDel="00000000" w:rsidP="00000000" w:rsidRDefault="00000000" w:rsidRPr="00000000" w14:paraId="00000199">
      <w:pPr>
        <w:jc w:val="both"/>
        <w:rPr>
          <w:sz w:val="24"/>
          <w:szCs w:val="24"/>
        </w:rPr>
      </w:pPr>
      <w:r w:rsidDel="00000000" w:rsidR="00000000" w:rsidRPr="00000000">
        <w:rPr>
          <w:sz w:val="24"/>
          <w:szCs w:val="24"/>
          <w:rtl w:val="0"/>
        </w:rPr>
        <w:t xml:space="preserve">This temporary swap account should not be recycled to profit or loss until the goods B are sold to Syensqo customers.</w:t>
      </w:r>
    </w:p>
    <w:p w:rsidR="00000000" w:rsidDel="00000000" w:rsidP="00000000" w:rsidRDefault="00000000" w:rsidRPr="00000000" w14:paraId="0000019A">
      <w:pPr>
        <w:jc w:val="both"/>
        <w:rPr>
          <w:sz w:val="24"/>
          <w:szCs w:val="24"/>
        </w:rPr>
      </w:pPr>
      <w:r w:rsidDel="00000000" w:rsidR="00000000" w:rsidRPr="00000000">
        <w:rPr>
          <w:sz w:val="24"/>
          <w:szCs w:val="24"/>
          <w:rtl w:val="0"/>
        </w:rPr>
        <w:t xml:space="preserve">An explanation of how to treat this temporary swap account at the end of each accounting period is given in Section "Treatment of the temporary swap account at the end of the accounting period – Deduction from inventory" below.</w:t>
      </w:r>
    </w:p>
    <w:p w:rsidR="00000000" w:rsidDel="00000000" w:rsidP="00000000" w:rsidRDefault="00000000" w:rsidRPr="00000000" w14:paraId="0000019B">
      <w:pPr>
        <w:rPr>
          <w:sz w:val="24"/>
          <w:szCs w:val="24"/>
          <w:u w:val="single"/>
        </w:rPr>
      </w:pPr>
      <w:r w:rsidDel="00000000" w:rsidR="00000000" w:rsidRPr="00000000">
        <w:rPr>
          <w:sz w:val="24"/>
          <w:szCs w:val="24"/>
          <w:u w:val="single"/>
          <w:rtl w:val="0"/>
        </w:rPr>
        <w:t xml:space="preserve">Second leg of the swap </w:t>
      </w:r>
    </w:p>
    <w:p w:rsidR="00000000" w:rsidDel="00000000" w:rsidP="00000000" w:rsidRDefault="00000000" w:rsidRPr="00000000" w14:paraId="0000019C">
      <w:pPr>
        <w:rPr>
          <w:sz w:val="24"/>
          <w:szCs w:val="24"/>
        </w:rPr>
      </w:pPr>
      <w:r w:rsidDel="00000000" w:rsidR="00000000" w:rsidRPr="00000000">
        <w:rPr>
          <w:sz w:val="24"/>
          <w:szCs w:val="24"/>
          <w:rtl w:val="0"/>
        </w:rPr>
        <w:t xml:space="preserve">Purchase of goods B in Brazil from the third party entity:</w:t>
      </w:r>
    </w:p>
    <w:tbl>
      <w:tblPr>
        <w:tblStyle w:val="Table8"/>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66"/>
        <w:gridCol w:w="1264"/>
        <w:gridCol w:w="1066"/>
        <w:tblGridChange w:id="0">
          <w:tblGrid>
            <w:gridCol w:w="7066"/>
            <w:gridCol w:w="1264"/>
            <w:gridCol w:w="1066"/>
          </w:tblGrid>
        </w:tblGridChange>
      </w:tblGrid>
      <w:tr>
        <w:trPr>
          <w:cantSplit w:val="0"/>
          <w:tblHeader w:val="0"/>
        </w:trPr>
        <w:tc>
          <w:tcPr/>
          <w:p w:rsidR="00000000" w:rsidDel="00000000" w:rsidP="00000000" w:rsidRDefault="00000000" w:rsidRPr="00000000" w14:paraId="0000019D">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19E">
            <w:pPr>
              <w:jc w:val="right"/>
              <w:rPr>
                <w:sz w:val="24"/>
                <w:szCs w:val="24"/>
              </w:rPr>
            </w:pPr>
            <w:r w:rsidDel="00000000" w:rsidR="00000000" w:rsidRPr="00000000">
              <w:rPr>
                <w:sz w:val="24"/>
                <w:szCs w:val="24"/>
                <w:rtl w:val="0"/>
              </w:rPr>
              <w:t xml:space="preserve">1000</w:t>
            </w:r>
          </w:p>
        </w:tc>
        <w:tc>
          <w:tcPr/>
          <w:p w:rsidR="00000000" w:rsidDel="00000000" w:rsidP="00000000" w:rsidRDefault="00000000" w:rsidRPr="00000000" w14:paraId="0000019F">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A0">
            <w:pPr>
              <w:rPr>
                <w:sz w:val="24"/>
                <w:szCs w:val="24"/>
              </w:rPr>
            </w:pPr>
            <w:r w:rsidDel="00000000" w:rsidR="00000000" w:rsidRPr="00000000">
              <w:rPr>
                <w:sz w:val="24"/>
                <w:szCs w:val="24"/>
                <w:rtl w:val="0"/>
              </w:rPr>
              <w:t xml:space="preserve">Accounts payable / Cash</w:t>
            </w:r>
          </w:p>
        </w:tc>
        <w:tc>
          <w:tcPr/>
          <w:p w:rsidR="00000000" w:rsidDel="00000000" w:rsidP="00000000" w:rsidRDefault="00000000" w:rsidRPr="00000000" w14:paraId="000001A1">
            <w:pPr>
              <w:jc w:val="right"/>
              <w:rPr>
                <w:sz w:val="24"/>
                <w:szCs w:val="24"/>
              </w:rPr>
            </w:pPr>
            <w:r w:rsidDel="00000000" w:rsidR="00000000" w:rsidRPr="00000000">
              <w:rPr>
                <w:rtl w:val="0"/>
              </w:rPr>
            </w:r>
          </w:p>
        </w:tc>
        <w:tc>
          <w:tcPr/>
          <w:p w:rsidR="00000000" w:rsidDel="00000000" w:rsidP="00000000" w:rsidRDefault="00000000" w:rsidRPr="00000000" w14:paraId="000001A2">
            <w:pPr>
              <w:jc w:val="right"/>
              <w:rPr>
                <w:sz w:val="24"/>
                <w:szCs w:val="24"/>
              </w:rPr>
            </w:pPr>
            <w:r w:rsidDel="00000000" w:rsidR="00000000" w:rsidRPr="00000000">
              <w:rPr>
                <w:sz w:val="24"/>
                <w:szCs w:val="24"/>
                <w:rtl w:val="0"/>
              </w:rPr>
              <w:t xml:space="preserve">1000</w:t>
            </w:r>
          </w:p>
        </w:tc>
      </w:tr>
    </w:tbl>
    <w:p w:rsidR="00000000" w:rsidDel="00000000" w:rsidP="00000000" w:rsidRDefault="00000000" w:rsidRPr="00000000" w14:paraId="000001A3">
      <w:pPr>
        <w:rPr>
          <w:sz w:val="24"/>
          <w:szCs w:val="24"/>
        </w:rPr>
      </w:pPr>
      <w:r w:rsidDel="00000000" w:rsidR="00000000" w:rsidRPr="00000000">
        <w:rPr>
          <w:rtl w:val="0"/>
        </w:rPr>
      </w:r>
    </w:p>
    <w:p w:rsidR="00000000" w:rsidDel="00000000" w:rsidP="00000000" w:rsidRDefault="00000000" w:rsidRPr="00000000" w14:paraId="000001A4">
      <w:pPr>
        <w:rPr>
          <w:sz w:val="24"/>
          <w:szCs w:val="24"/>
        </w:rPr>
      </w:pPr>
      <w:r w:rsidDel="00000000" w:rsidR="00000000" w:rsidRPr="00000000">
        <w:rPr>
          <w:sz w:val="24"/>
          <w:szCs w:val="24"/>
          <w:rtl w:val="0"/>
        </w:rPr>
        <w:t xml:space="preserve">Sale of these goods B to Syensqo customers:</w:t>
      </w:r>
    </w:p>
    <w:tbl>
      <w:tblPr>
        <w:tblStyle w:val="Table9"/>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66"/>
        <w:gridCol w:w="1264"/>
        <w:gridCol w:w="1066"/>
        <w:tblGridChange w:id="0">
          <w:tblGrid>
            <w:gridCol w:w="7066"/>
            <w:gridCol w:w="1264"/>
            <w:gridCol w:w="1066"/>
          </w:tblGrid>
        </w:tblGridChange>
      </w:tblGrid>
      <w:tr>
        <w:trPr>
          <w:cantSplit w:val="0"/>
          <w:tblHeader w:val="0"/>
        </w:trPr>
        <w:tc>
          <w:tcPr/>
          <w:p w:rsidR="00000000" w:rsidDel="00000000" w:rsidP="00000000" w:rsidRDefault="00000000" w:rsidRPr="00000000" w14:paraId="000001A5">
            <w:pPr>
              <w:rPr>
                <w:sz w:val="24"/>
                <w:szCs w:val="24"/>
              </w:rPr>
            </w:pPr>
            <w:r w:rsidDel="00000000" w:rsidR="00000000" w:rsidRPr="00000000">
              <w:rPr>
                <w:sz w:val="24"/>
                <w:szCs w:val="24"/>
                <w:rtl w:val="0"/>
              </w:rPr>
              <w:t xml:space="preserve">Accounts receivable / Cash</w:t>
            </w:r>
          </w:p>
        </w:tc>
        <w:tc>
          <w:tcPr/>
          <w:p w:rsidR="00000000" w:rsidDel="00000000" w:rsidP="00000000" w:rsidRDefault="00000000" w:rsidRPr="00000000" w14:paraId="000001A6">
            <w:pPr>
              <w:jc w:val="right"/>
              <w:rPr>
                <w:sz w:val="24"/>
                <w:szCs w:val="24"/>
              </w:rPr>
            </w:pPr>
            <w:r w:rsidDel="00000000" w:rsidR="00000000" w:rsidRPr="00000000">
              <w:rPr>
                <w:sz w:val="24"/>
                <w:szCs w:val="24"/>
                <w:rtl w:val="0"/>
              </w:rPr>
              <w:t xml:space="preserve">1060</w:t>
            </w:r>
          </w:p>
        </w:tc>
        <w:tc>
          <w:tcPr/>
          <w:p w:rsidR="00000000" w:rsidDel="00000000" w:rsidP="00000000" w:rsidRDefault="00000000" w:rsidRPr="00000000" w14:paraId="000001A7">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A8">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1A9">
            <w:pPr>
              <w:jc w:val="right"/>
              <w:rPr>
                <w:sz w:val="24"/>
                <w:szCs w:val="24"/>
              </w:rPr>
            </w:pPr>
            <w:r w:rsidDel="00000000" w:rsidR="00000000" w:rsidRPr="00000000">
              <w:rPr>
                <w:rtl w:val="0"/>
              </w:rPr>
            </w:r>
          </w:p>
        </w:tc>
        <w:tc>
          <w:tcPr/>
          <w:p w:rsidR="00000000" w:rsidDel="00000000" w:rsidP="00000000" w:rsidRDefault="00000000" w:rsidRPr="00000000" w14:paraId="000001AA">
            <w:pPr>
              <w:jc w:val="right"/>
              <w:rPr>
                <w:sz w:val="24"/>
                <w:szCs w:val="24"/>
              </w:rPr>
            </w:pPr>
            <w:r w:rsidDel="00000000" w:rsidR="00000000" w:rsidRPr="00000000">
              <w:rPr>
                <w:sz w:val="24"/>
                <w:szCs w:val="24"/>
                <w:rtl w:val="0"/>
              </w:rPr>
              <w:t xml:space="preserve">1060</w:t>
            </w:r>
          </w:p>
        </w:tc>
      </w:tr>
      <w:tr>
        <w:trPr>
          <w:cantSplit w:val="0"/>
          <w:tblHeader w:val="0"/>
        </w:trPr>
        <w:tc>
          <w:tcPr/>
          <w:p w:rsidR="00000000" w:rsidDel="00000000" w:rsidP="00000000" w:rsidRDefault="00000000" w:rsidRPr="00000000" w14:paraId="000001AB">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1AC">
            <w:pPr>
              <w:jc w:val="right"/>
              <w:rPr>
                <w:sz w:val="24"/>
                <w:szCs w:val="24"/>
              </w:rPr>
            </w:pPr>
            <w:r w:rsidDel="00000000" w:rsidR="00000000" w:rsidRPr="00000000">
              <w:rPr>
                <w:sz w:val="24"/>
                <w:szCs w:val="24"/>
                <w:rtl w:val="0"/>
              </w:rPr>
              <w:t xml:space="preserve">1000</w:t>
            </w:r>
          </w:p>
        </w:tc>
        <w:tc>
          <w:tcPr/>
          <w:p w:rsidR="00000000" w:rsidDel="00000000" w:rsidP="00000000" w:rsidRDefault="00000000" w:rsidRPr="00000000" w14:paraId="000001AD">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AE">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1AF">
            <w:pPr>
              <w:jc w:val="right"/>
              <w:rPr>
                <w:sz w:val="24"/>
                <w:szCs w:val="24"/>
              </w:rPr>
            </w:pPr>
            <w:r w:rsidDel="00000000" w:rsidR="00000000" w:rsidRPr="00000000">
              <w:rPr>
                <w:rtl w:val="0"/>
              </w:rPr>
            </w:r>
          </w:p>
        </w:tc>
        <w:tc>
          <w:tcPr/>
          <w:p w:rsidR="00000000" w:rsidDel="00000000" w:rsidP="00000000" w:rsidRDefault="00000000" w:rsidRPr="00000000" w14:paraId="000001B0">
            <w:pPr>
              <w:jc w:val="right"/>
              <w:rPr>
                <w:sz w:val="24"/>
                <w:szCs w:val="24"/>
              </w:rPr>
            </w:pPr>
            <w:r w:rsidDel="00000000" w:rsidR="00000000" w:rsidRPr="00000000">
              <w:rPr>
                <w:sz w:val="24"/>
                <w:szCs w:val="24"/>
                <w:rtl w:val="0"/>
              </w:rPr>
              <w:t xml:space="preserve">1000</w:t>
            </w:r>
          </w:p>
        </w:tc>
      </w:tr>
    </w:tbl>
    <w:p w:rsidR="00000000" w:rsidDel="00000000" w:rsidP="00000000" w:rsidRDefault="00000000" w:rsidRPr="00000000" w14:paraId="000001B1">
      <w:pPr>
        <w:rPr>
          <w:sz w:val="24"/>
          <w:szCs w:val="24"/>
        </w:rPr>
      </w:pPr>
      <w:r w:rsidDel="00000000" w:rsidR="00000000" w:rsidRPr="00000000">
        <w:rPr>
          <w:rtl w:val="0"/>
        </w:rPr>
      </w:r>
    </w:p>
    <w:p w:rsidR="00000000" w:rsidDel="00000000" w:rsidP="00000000" w:rsidRDefault="00000000" w:rsidRPr="00000000" w14:paraId="000001B2">
      <w:pPr>
        <w:jc w:val="both"/>
        <w:rPr>
          <w:sz w:val="24"/>
          <w:szCs w:val="24"/>
        </w:rPr>
      </w:pPr>
      <w:r w:rsidDel="00000000" w:rsidR="00000000" w:rsidRPr="00000000">
        <w:rPr>
          <w:sz w:val="24"/>
          <w:szCs w:val="24"/>
          <w:rtl w:val="0"/>
        </w:rPr>
        <w:t xml:space="preserve">Since the goods have now been sold to Syensqo customers, the temporary swap account in the balance sheet shall be recycled in Cost of sales. This is to reflect the costs of sale Syensqo would have incurred had it not concluded the swap transaction:</w:t>
      </w:r>
    </w:p>
    <w:tbl>
      <w:tblPr>
        <w:tblStyle w:val="Table10"/>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76"/>
        <w:gridCol w:w="1259"/>
        <w:gridCol w:w="1061"/>
        <w:tblGridChange w:id="0">
          <w:tblGrid>
            <w:gridCol w:w="7076"/>
            <w:gridCol w:w="1259"/>
            <w:gridCol w:w="1061"/>
          </w:tblGrid>
        </w:tblGridChange>
      </w:tblGrid>
      <w:tr>
        <w:trPr>
          <w:cantSplit w:val="0"/>
          <w:tblHeader w:val="0"/>
        </w:trPr>
        <w:tc>
          <w:tcPr/>
          <w:p w:rsidR="00000000" w:rsidDel="00000000" w:rsidP="00000000" w:rsidRDefault="00000000" w:rsidRPr="00000000" w14:paraId="000001B3">
            <w:pPr>
              <w:rPr>
                <w:sz w:val="24"/>
                <w:szCs w:val="24"/>
              </w:rPr>
            </w:pPr>
            <w:r w:rsidDel="00000000" w:rsidR="00000000" w:rsidRPr="00000000">
              <w:rPr>
                <w:sz w:val="24"/>
                <w:szCs w:val="24"/>
                <w:rtl w:val="0"/>
              </w:rPr>
              <w:t xml:space="preserve">Temporary swap accounts</w:t>
            </w:r>
          </w:p>
        </w:tc>
        <w:tc>
          <w:tcPr/>
          <w:p w:rsidR="00000000" w:rsidDel="00000000" w:rsidP="00000000" w:rsidRDefault="00000000" w:rsidRPr="00000000" w14:paraId="000001B4">
            <w:pPr>
              <w:jc w:val="right"/>
              <w:rPr>
                <w:sz w:val="24"/>
                <w:szCs w:val="24"/>
              </w:rPr>
            </w:pPr>
            <w:r w:rsidDel="00000000" w:rsidR="00000000" w:rsidRPr="00000000">
              <w:rPr>
                <w:sz w:val="24"/>
                <w:szCs w:val="24"/>
                <w:rtl w:val="0"/>
              </w:rPr>
              <w:t xml:space="preserve">70</w:t>
            </w:r>
          </w:p>
        </w:tc>
        <w:tc>
          <w:tcPr/>
          <w:p w:rsidR="00000000" w:rsidDel="00000000" w:rsidP="00000000" w:rsidRDefault="00000000" w:rsidRPr="00000000" w14:paraId="000001B5">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B6">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1B7">
            <w:pPr>
              <w:jc w:val="right"/>
              <w:rPr>
                <w:sz w:val="24"/>
                <w:szCs w:val="24"/>
              </w:rPr>
            </w:pPr>
            <w:r w:rsidDel="00000000" w:rsidR="00000000" w:rsidRPr="00000000">
              <w:rPr>
                <w:rtl w:val="0"/>
              </w:rPr>
            </w:r>
          </w:p>
        </w:tc>
        <w:tc>
          <w:tcPr/>
          <w:p w:rsidR="00000000" w:rsidDel="00000000" w:rsidP="00000000" w:rsidRDefault="00000000" w:rsidRPr="00000000" w14:paraId="000001B8">
            <w:pPr>
              <w:jc w:val="right"/>
              <w:rPr>
                <w:sz w:val="24"/>
                <w:szCs w:val="24"/>
              </w:rPr>
            </w:pPr>
            <w:r w:rsidDel="00000000" w:rsidR="00000000" w:rsidRPr="00000000">
              <w:rPr>
                <w:sz w:val="24"/>
                <w:szCs w:val="24"/>
                <w:rtl w:val="0"/>
              </w:rPr>
              <w:t xml:space="preserve">70</w:t>
            </w:r>
          </w:p>
        </w:tc>
      </w:tr>
    </w:tbl>
    <w:p w:rsidR="00000000" w:rsidDel="00000000" w:rsidP="00000000" w:rsidRDefault="00000000" w:rsidRPr="00000000" w14:paraId="000001B9">
      <w:pPr>
        <w:rPr>
          <w:sz w:val="24"/>
          <w:szCs w:val="24"/>
        </w:rPr>
      </w:pPr>
      <w:r w:rsidDel="00000000" w:rsidR="00000000" w:rsidRPr="00000000">
        <w:rPr>
          <w:rtl w:val="0"/>
        </w:rPr>
      </w:r>
    </w:p>
    <w:p w:rsidR="00000000" w:rsidDel="00000000" w:rsidP="00000000" w:rsidRDefault="00000000" w:rsidRPr="00000000" w14:paraId="000001BA">
      <w:pPr>
        <w:rPr>
          <w:sz w:val="24"/>
          <w:szCs w:val="24"/>
        </w:rPr>
      </w:pPr>
      <w:r w:rsidDel="00000000" w:rsidR="00000000" w:rsidRPr="00000000">
        <w:rPr>
          <w:sz w:val="24"/>
          <w:szCs w:val="24"/>
          <w:rtl w:val="0"/>
        </w:rPr>
        <w:t xml:space="preserve">Therefore the overall swap combined with the sale of goods to end customers would appear as follows in Syensqo’s consolidated financial statements:</w:t>
      </w:r>
    </w:p>
    <w:tbl>
      <w:tblPr>
        <w:tblStyle w:val="Table11"/>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2198"/>
        <w:gridCol w:w="939"/>
        <w:gridCol w:w="2262"/>
        <w:gridCol w:w="859"/>
        <w:gridCol w:w="2077"/>
        <w:gridCol w:w="1061"/>
        <w:tblGridChange w:id="0">
          <w:tblGrid>
            <w:gridCol w:w="2198"/>
            <w:gridCol w:w="939"/>
            <w:gridCol w:w="2262"/>
            <w:gridCol w:w="859"/>
            <w:gridCol w:w="2077"/>
            <w:gridCol w:w="1061"/>
          </w:tblGrid>
        </w:tblGridChange>
      </w:tblGrid>
      <w:tr>
        <w:trPr>
          <w:cantSplit w:val="0"/>
          <w:tblHeader w:val="0"/>
        </w:trPr>
        <w:tc>
          <w:tcPr>
            <w:gridSpan w:val="4"/>
            <w:vAlign w:val="center"/>
          </w:tcPr>
          <w:p w:rsidR="00000000" w:rsidDel="00000000" w:rsidP="00000000" w:rsidRDefault="00000000" w:rsidRPr="00000000" w14:paraId="000001BB">
            <w:pPr>
              <w:jc w:val="center"/>
              <w:rPr>
                <w:sz w:val="24"/>
                <w:szCs w:val="24"/>
              </w:rPr>
            </w:pPr>
            <w:r w:rsidDel="00000000" w:rsidR="00000000" w:rsidRPr="00000000">
              <w:rPr>
                <w:sz w:val="24"/>
                <w:szCs w:val="24"/>
                <w:rtl w:val="0"/>
              </w:rPr>
              <w:t xml:space="preserve">Balance sheet</w:t>
            </w:r>
          </w:p>
        </w:tc>
        <w:tc>
          <w:tcPr>
            <w:gridSpan w:val="2"/>
            <w:vMerge w:val="restart"/>
            <w:vAlign w:val="center"/>
          </w:tcPr>
          <w:p w:rsidR="00000000" w:rsidDel="00000000" w:rsidP="00000000" w:rsidRDefault="00000000" w:rsidRPr="00000000" w14:paraId="000001BF">
            <w:pPr>
              <w:jc w:val="center"/>
              <w:rPr>
                <w:sz w:val="24"/>
                <w:szCs w:val="24"/>
              </w:rPr>
            </w:pPr>
            <w:r w:rsidDel="00000000" w:rsidR="00000000" w:rsidRPr="00000000">
              <w:rPr>
                <w:sz w:val="24"/>
                <w:szCs w:val="24"/>
                <w:rtl w:val="0"/>
              </w:rPr>
              <w:t xml:space="preserve">Income statement</w:t>
            </w:r>
          </w:p>
        </w:tc>
      </w:tr>
      <w:tr>
        <w:trPr>
          <w:cantSplit w:val="0"/>
          <w:tblHeader w:val="0"/>
        </w:trPr>
        <w:tc>
          <w:tcPr>
            <w:gridSpan w:val="2"/>
            <w:vAlign w:val="center"/>
          </w:tcPr>
          <w:p w:rsidR="00000000" w:rsidDel="00000000" w:rsidP="00000000" w:rsidRDefault="00000000" w:rsidRPr="00000000" w14:paraId="000001C1">
            <w:pPr>
              <w:jc w:val="center"/>
              <w:rPr>
                <w:sz w:val="24"/>
                <w:szCs w:val="24"/>
              </w:rPr>
            </w:pPr>
            <w:r w:rsidDel="00000000" w:rsidR="00000000" w:rsidRPr="00000000">
              <w:rPr>
                <w:sz w:val="24"/>
                <w:szCs w:val="24"/>
                <w:rtl w:val="0"/>
              </w:rPr>
              <w:t xml:space="preserve">Assets</w:t>
            </w:r>
          </w:p>
        </w:tc>
        <w:tc>
          <w:tcPr>
            <w:gridSpan w:val="2"/>
            <w:vAlign w:val="center"/>
          </w:tcPr>
          <w:p w:rsidR="00000000" w:rsidDel="00000000" w:rsidP="00000000" w:rsidRDefault="00000000" w:rsidRPr="00000000" w14:paraId="000001C3">
            <w:pPr>
              <w:jc w:val="center"/>
              <w:rPr>
                <w:sz w:val="24"/>
                <w:szCs w:val="24"/>
              </w:rPr>
            </w:pPr>
            <w:r w:rsidDel="00000000" w:rsidR="00000000" w:rsidRPr="00000000">
              <w:rPr>
                <w:sz w:val="24"/>
                <w:szCs w:val="24"/>
                <w:rtl w:val="0"/>
              </w:rPr>
              <w:t xml:space="preserve">Equity &amp; liabilities</w:t>
            </w:r>
          </w:p>
        </w:tc>
        <w:tc>
          <w:tcPr>
            <w:gridSpan w:val="2"/>
            <w:vMerge w:val="continue"/>
            <w:vAlign w:val="center"/>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C7">
            <w:pPr>
              <w:rPr>
                <w:sz w:val="24"/>
                <w:szCs w:val="24"/>
              </w:rPr>
            </w:pPr>
            <w:r w:rsidDel="00000000" w:rsidR="00000000" w:rsidRPr="00000000">
              <w:rPr>
                <w:sz w:val="24"/>
                <w:szCs w:val="24"/>
                <w:rtl w:val="0"/>
              </w:rPr>
              <w:t xml:space="preserve">Cash</w:t>
            </w:r>
          </w:p>
        </w:tc>
        <w:tc>
          <w:tcPr/>
          <w:p w:rsidR="00000000" w:rsidDel="00000000" w:rsidP="00000000" w:rsidRDefault="00000000" w:rsidRPr="00000000" w14:paraId="000001C8">
            <w:pPr>
              <w:jc w:val="right"/>
              <w:rPr>
                <w:sz w:val="24"/>
                <w:szCs w:val="24"/>
              </w:rPr>
            </w:pPr>
            <w:r w:rsidDel="00000000" w:rsidR="00000000" w:rsidRPr="00000000">
              <w:rPr>
                <w:sz w:val="24"/>
                <w:szCs w:val="24"/>
                <w:rtl w:val="0"/>
              </w:rPr>
              <w:t xml:space="preserve">1030</w:t>
            </w:r>
          </w:p>
        </w:tc>
        <w:tc>
          <w:tcPr/>
          <w:p w:rsidR="00000000" w:rsidDel="00000000" w:rsidP="00000000" w:rsidRDefault="00000000" w:rsidRPr="00000000" w14:paraId="000001C9">
            <w:pPr>
              <w:rPr>
                <w:sz w:val="24"/>
                <w:szCs w:val="24"/>
              </w:rPr>
            </w:pPr>
            <w:r w:rsidDel="00000000" w:rsidR="00000000" w:rsidRPr="00000000">
              <w:rPr>
                <w:sz w:val="24"/>
                <w:szCs w:val="24"/>
                <w:rtl w:val="0"/>
              </w:rPr>
              <w:t xml:space="preserve">Equity </w:t>
            </w:r>
          </w:p>
        </w:tc>
        <w:tc>
          <w:tcPr/>
          <w:p w:rsidR="00000000" w:rsidDel="00000000" w:rsidP="00000000" w:rsidRDefault="00000000" w:rsidRPr="00000000" w14:paraId="000001CA">
            <w:pPr>
              <w:jc w:val="right"/>
              <w:rPr>
                <w:sz w:val="24"/>
                <w:szCs w:val="24"/>
              </w:rPr>
            </w:pPr>
            <w:r w:rsidDel="00000000" w:rsidR="00000000" w:rsidRPr="00000000">
              <w:rPr>
                <w:sz w:val="24"/>
                <w:szCs w:val="24"/>
                <w:rtl w:val="0"/>
              </w:rPr>
              <w:t xml:space="preserve">130</w:t>
            </w:r>
          </w:p>
        </w:tc>
        <w:tc>
          <w:tcPr/>
          <w:p w:rsidR="00000000" w:rsidDel="00000000" w:rsidP="00000000" w:rsidRDefault="00000000" w:rsidRPr="00000000" w14:paraId="000001CB">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1CC">
            <w:pPr>
              <w:jc w:val="right"/>
              <w:rPr>
                <w:sz w:val="24"/>
                <w:szCs w:val="24"/>
              </w:rPr>
            </w:pPr>
            <w:r w:rsidDel="00000000" w:rsidR="00000000" w:rsidRPr="00000000">
              <w:rPr>
                <w:sz w:val="24"/>
                <w:szCs w:val="24"/>
                <w:rtl w:val="0"/>
              </w:rPr>
              <w:t xml:space="preserve">1060</w:t>
            </w:r>
          </w:p>
        </w:tc>
      </w:tr>
      <w:tr>
        <w:trPr>
          <w:cantSplit w:val="0"/>
          <w:tblHeader w:val="0"/>
        </w:trPr>
        <w:tc>
          <w:tcPr/>
          <w:p w:rsidR="00000000" w:rsidDel="00000000" w:rsidP="00000000" w:rsidRDefault="00000000" w:rsidRPr="00000000" w14:paraId="000001CD">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1CE">
            <w:pPr>
              <w:jc w:val="right"/>
              <w:rPr>
                <w:sz w:val="24"/>
                <w:szCs w:val="24"/>
              </w:rPr>
            </w:pPr>
            <w:r w:rsidDel="00000000" w:rsidR="00000000" w:rsidRPr="00000000">
              <w:rPr>
                <w:sz w:val="24"/>
                <w:szCs w:val="24"/>
                <w:rtl w:val="0"/>
              </w:rPr>
              <w:t xml:space="preserve">-900</w:t>
            </w:r>
          </w:p>
        </w:tc>
        <w:tc>
          <w:tcPr/>
          <w:p w:rsidR="00000000" w:rsidDel="00000000" w:rsidP="00000000" w:rsidRDefault="00000000" w:rsidRPr="00000000" w14:paraId="000001CF">
            <w:pPr>
              <w:rPr>
                <w:sz w:val="24"/>
                <w:szCs w:val="24"/>
              </w:rPr>
            </w:pPr>
            <w:r w:rsidDel="00000000" w:rsidR="00000000" w:rsidRPr="00000000">
              <w:rPr>
                <w:rtl w:val="0"/>
              </w:rPr>
            </w:r>
          </w:p>
        </w:tc>
        <w:tc>
          <w:tcPr/>
          <w:p w:rsidR="00000000" w:rsidDel="00000000" w:rsidP="00000000" w:rsidRDefault="00000000" w:rsidRPr="00000000" w14:paraId="000001D0">
            <w:pPr>
              <w:jc w:val="right"/>
              <w:rPr>
                <w:sz w:val="24"/>
                <w:szCs w:val="24"/>
              </w:rPr>
            </w:pPr>
            <w:r w:rsidDel="00000000" w:rsidR="00000000" w:rsidRPr="00000000">
              <w:rPr>
                <w:rtl w:val="0"/>
              </w:rPr>
            </w:r>
          </w:p>
        </w:tc>
        <w:tc>
          <w:tcPr/>
          <w:p w:rsidR="00000000" w:rsidDel="00000000" w:rsidP="00000000" w:rsidRDefault="00000000" w:rsidRPr="00000000" w14:paraId="000001D1">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1D2">
            <w:pPr>
              <w:jc w:val="right"/>
              <w:rPr>
                <w:sz w:val="24"/>
                <w:szCs w:val="24"/>
              </w:rPr>
            </w:pPr>
            <w:r w:rsidDel="00000000" w:rsidR="00000000" w:rsidRPr="00000000">
              <w:rPr>
                <w:sz w:val="24"/>
                <w:szCs w:val="24"/>
                <w:rtl w:val="0"/>
              </w:rPr>
              <w:t xml:space="preserve">- 930</w:t>
            </w:r>
          </w:p>
        </w:tc>
      </w:tr>
      <w:tr>
        <w:trPr>
          <w:cantSplit w:val="0"/>
          <w:tblHeader w:val="0"/>
        </w:trPr>
        <w:tc>
          <w:tcPr/>
          <w:p w:rsidR="00000000" w:rsidDel="00000000" w:rsidP="00000000" w:rsidRDefault="00000000" w:rsidRPr="00000000" w14:paraId="000001D3">
            <w:pPr>
              <w:rPr>
                <w:b w:val="1"/>
                <w:bCs w:val="1"/>
                <w:sz w:val="24"/>
                <w:szCs w:val="24"/>
              </w:rPr>
            </w:pPr>
            <w:r w:rsidDel="00000000" w:rsidR="00000000" w:rsidRPr="00000000">
              <w:rPr>
                <w:b w:val="1"/>
                <w:bCs w:val="1"/>
                <w:sz w:val="24"/>
                <w:szCs w:val="24"/>
                <w:rtl w:val="0"/>
              </w:rPr>
              <w:t xml:space="preserve">Total</w:t>
            </w:r>
          </w:p>
        </w:tc>
        <w:tc>
          <w:tcPr/>
          <w:p w:rsidR="00000000" w:rsidDel="00000000" w:rsidP="00000000" w:rsidRDefault="00000000" w:rsidRPr="00000000" w14:paraId="000001D4">
            <w:pPr>
              <w:jc w:val="right"/>
              <w:rPr>
                <w:b w:val="1"/>
                <w:bCs w:val="1"/>
                <w:sz w:val="24"/>
                <w:szCs w:val="24"/>
              </w:rPr>
            </w:pPr>
            <w:r w:rsidDel="00000000" w:rsidR="00000000" w:rsidRPr="00000000">
              <w:rPr>
                <w:b w:val="1"/>
                <w:bCs w:val="1"/>
                <w:sz w:val="24"/>
                <w:szCs w:val="24"/>
                <w:rtl w:val="0"/>
              </w:rPr>
              <w:t xml:space="preserve">130</w:t>
            </w:r>
          </w:p>
        </w:tc>
        <w:tc>
          <w:tcPr/>
          <w:p w:rsidR="00000000" w:rsidDel="00000000" w:rsidP="00000000" w:rsidRDefault="00000000" w:rsidRPr="00000000" w14:paraId="000001D5">
            <w:pPr>
              <w:rPr>
                <w:b w:val="1"/>
                <w:bCs w:val="1"/>
                <w:sz w:val="24"/>
                <w:szCs w:val="24"/>
              </w:rPr>
            </w:pPr>
            <w:r w:rsidDel="00000000" w:rsidR="00000000" w:rsidRPr="00000000">
              <w:rPr>
                <w:b w:val="1"/>
                <w:bCs w:val="1"/>
                <w:sz w:val="24"/>
                <w:szCs w:val="24"/>
                <w:rtl w:val="0"/>
              </w:rPr>
              <w:t xml:space="preserve">Total</w:t>
            </w:r>
          </w:p>
        </w:tc>
        <w:tc>
          <w:tcPr/>
          <w:p w:rsidR="00000000" w:rsidDel="00000000" w:rsidP="00000000" w:rsidRDefault="00000000" w:rsidRPr="00000000" w14:paraId="000001D6">
            <w:pPr>
              <w:jc w:val="right"/>
              <w:rPr>
                <w:b w:val="1"/>
                <w:bCs w:val="1"/>
                <w:sz w:val="24"/>
                <w:szCs w:val="24"/>
              </w:rPr>
            </w:pPr>
            <w:r w:rsidDel="00000000" w:rsidR="00000000" w:rsidRPr="00000000">
              <w:rPr>
                <w:b w:val="1"/>
                <w:bCs w:val="1"/>
                <w:sz w:val="24"/>
                <w:szCs w:val="24"/>
                <w:rtl w:val="0"/>
              </w:rPr>
              <w:t xml:space="preserve">130</w:t>
            </w:r>
          </w:p>
        </w:tc>
        <w:tc>
          <w:tcPr/>
          <w:p w:rsidR="00000000" w:rsidDel="00000000" w:rsidP="00000000" w:rsidRDefault="00000000" w:rsidRPr="00000000" w14:paraId="000001D7">
            <w:pPr>
              <w:rPr>
                <w:b w:val="1"/>
                <w:bCs w:val="1"/>
                <w:sz w:val="24"/>
                <w:szCs w:val="24"/>
              </w:rPr>
            </w:pPr>
            <w:r w:rsidDel="00000000" w:rsidR="00000000" w:rsidRPr="00000000">
              <w:rPr>
                <w:b w:val="1"/>
                <w:bCs w:val="1"/>
                <w:sz w:val="24"/>
                <w:szCs w:val="24"/>
                <w:rtl w:val="0"/>
              </w:rPr>
              <w:t xml:space="preserve">Operating income</w:t>
            </w:r>
          </w:p>
        </w:tc>
        <w:tc>
          <w:tcPr/>
          <w:p w:rsidR="00000000" w:rsidDel="00000000" w:rsidP="00000000" w:rsidRDefault="00000000" w:rsidRPr="00000000" w14:paraId="000001D8">
            <w:pPr>
              <w:jc w:val="right"/>
              <w:rPr>
                <w:b w:val="1"/>
                <w:bCs w:val="1"/>
                <w:sz w:val="24"/>
                <w:szCs w:val="24"/>
              </w:rPr>
            </w:pPr>
            <w:r w:rsidDel="00000000" w:rsidR="00000000" w:rsidRPr="00000000">
              <w:rPr>
                <w:b w:val="1"/>
                <w:bCs w:val="1"/>
                <w:sz w:val="24"/>
                <w:szCs w:val="24"/>
                <w:rtl w:val="0"/>
              </w:rPr>
              <w:t xml:space="preserve">130</w:t>
            </w:r>
          </w:p>
        </w:tc>
      </w:tr>
    </w:tbl>
    <w:p w:rsidR="00000000" w:rsidDel="00000000" w:rsidP="00000000" w:rsidRDefault="00000000" w:rsidRPr="00000000" w14:paraId="000001D9">
      <w:pPr>
        <w:rPr>
          <w:sz w:val="24"/>
          <w:szCs w:val="24"/>
        </w:rPr>
      </w:pPr>
      <w:r w:rsidDel="00000000" w:rsidR="00000000" w:rsidRPr="00000000">
        <w:rPr>
          <w:sz w:val="24"/>
          <w:szCs w:val="24"/>
          <w:rtl w:val="0"/>
        </w:rPr>
        <w:t xml:space="preserve"> </w:t>
      </w:r>
    </w:p>
    <w:p w:rsidR="00000000" w:rsidDel="00000000" w:rsidP="00000000" w:rsidRDefault="00000000" w:rsidRPr="00000000" w14:paraId="000001DA">
      <w:pPr>
        <w:pStyle w:val="Heading3"/>
        <w:numPr>
          <w:ilvl w:val="1"/>
          <w:numId w:val="35"/>
        </w:numPr>
        <w:ind w:left="1440" w:hanging="360"/>
        <w:rPr>
          <w:sz w:val="24"/>
          <w:szCs w:val="24"/>
        </w:rPr>
      </w:pPr>
      <w:bookmarkStart w:colFirst="0" w:colLast="0" w:name="_heading=h.15jp5x72xg9h" w:id="27"/>
      <w:bookmarkEnd w:id="27"/>
      <w:r w:rsidDel="00000000" w:rsidR="00000000" w:rsidRPr="00000000">
        <w:rPr>
          <w:sz w:val="24"/>
          <w:szCs w:val="24"/>
          <w:rtl w:val="0"/>
        </w:rPr>
        <w:t xml:space="preserve">Swap example 2 - Purchase followed by a sale</w:t>
      </w:r>
    </w:p>
    <w:p w:rsidR="00000000" w:rsidDel="00000000" w:rsidP="00000000" w:rsidRDefault="00000000" w:rsidRPr="00000000" w14:paraId="000001DB">
      <w:pPr>
        <w:rPr>
          <w:sz w:val="24"/>
          <w:szCs w:val="24"/>
        </w:rPr>
      </w:pPr>
      <w:r w:rsidDel="00000000" w:rsidR="00000000" w:rsidRPr="00000000">
        <w:rPr>
          <w:sz w:val="24"/>
          <w:szCs w:val="24"/>
          <w:rtl w:val="0"/>
        </w:rPr>
        <w:t xml:space="preserve">Suppose Syensqo purchases goods A in Asia to sell to Asian customers, then sells goods B in Europe.</w:t>
      </w:r>
    </w:p>
    <w:p w:rsidR="00000000" w:rsidDel="00000000" w:rsidP="00000000" w:rsidRDefault="00000000" w:rsidRPr="00000000" w14:paraId="000001DC">
      <w:pPr>
        <w:rPr>
          <w:sz w:val="24"/>
          <w:szCs w:val="24"/>
          <w:u w:val="single"/>
        </w:rPr>
      </w:pPr>
      <w:r w:rsidDel="00000000" w:rsidR="00000000" w:rsidRPr="00000000">
        <w:rPr>
          <w:sz w:val="24"/>
          <w:szCs w:val="24"/>
          <w:u w:val="single"/>
          <w:rtl w:val="0"/>
        </w:rPr>
        <w:t xml:space="preserve">First leg of the swap</w:t>
      </w:r>
    </w:p>
    <w:p w:rsidR="00000000" w:rsidDel="00000000" w:rsidP="00000000" w:rsidRDefault="00000000" w:rsidRPr="00000000" w14:paraId="000001DD">
      <w:pPr>
        <w:rPr>
          <w:sz w:val="24"/>
          <w:szCs w:val="24"/>
        </w:rPr>
      </w:pPr>
      <w:r w:rsidDel="00000000" w:rsidR="00000000" w:rsidRPr="00000000">
        <w:rPr>
          <w:sz w:val="24"/>
          <w:szCs w:val="24"/>
          <w:rtl w:val="0"/>
        </w:rPr>
        <w:t xml:space="preserve">Purchase of goods A in Asia from the third party entity:</w:t>
      </w:r>
    </w:p>
    <w:tbl>
      <w:tblPr>
        <w:tblStyle w:val="Table12"/>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66"/>
        <w:gridCol w:w="1264"/>
        <w:gridCol w:w="1066"/>
        <w:tblGridChange w:id="0">
          <w:tblGrid>
            <w:gridCol w:w="7066"/>
            <w:gridCol w:w="1264"/>
            <w:gridCol w:w="1066"/>
          </w:tblGrid>
        </w:tblGridChange>
      </w:tblGrid>
      <w:tr>
        <w:trPr>
          <w:cantSplit w:val="0"/>
          <w:tblHeader w:val="0"/>
        </w:trPr>
        <w:tc>
          <w:tcPr/>
          <w:p w:rsidR="00000000" w:rsidDel="00000000" w:rsidP="00000000" w:rsidRDefault="00000000" w:rsidRPr="00000000" w14:paraId="000001DE">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1DF">
            <w:pPr>
              <w:jc w:val="right"/>
              <w:rPr>
                <w:sz w:val="24"/>
                <w:szCs w:val="24"/>
              </w:rPr>
            </w:pPr>
            <w:r w:rsidDel="00000000" w:rsidR="00000000" w:rsidRPr="00000000">
              <w:rPr>
                <w:sz w:val="24"/>
                <w:szCs w:val="24"/>
                <w:rtl w:val="0"/>
              </w:rPr>
              <w:t xml:space="preserve">1000</w:t>
            </w:r>
          </w:p>
        </w:tc>
        <w:tc>
          <w:tcPr/>
          <w:p w:rsidR="00000000" w:rsidDel="00000000" w:rsidP="00000000" w:rsidRDefault="00000000" w:rsidRPr="00000000" w14:paraId="000001E0">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E1">
            <w:pPr>
              <w:rPr>
                <w:sz w:val="24"/>
                <w:szCs w:val="24"/>
              </w:rPr>
            </w:pPr>
            <w:r w:rsidDel="00000000" w:rsidR="00000000" w:rsidRPr="00000000">
              <w:rPr>
                <w:sz w:val="24"/>
                <w:szCs w:val="24"/>
                <w:rtl w:val="0"/>
              </w:rPr>
              <w:t xml:space="preserve">Accounts payable / Cash</w:t>
            </w:r>
          </w:p>
        </w:tc>
        <w:tc>
          <w:tcPr/>
          <w:p w:rsidR="00000000" w:rsidDel="00000000" w:rsidP="00000000" w:rsidRDefault="00000000" w:rsidRPr="00000000" w14:paraId="000001E2">
            <w:pPr>
              <w:jc w:val="right"/>
              <w:rPr>
                <w:sz w:val="24"/>
                <w:szCs w:val="24"/>
              </w:rPr>
            </w:pPr>
            <w:r w:rsidDel="00000000" w:rsidR="00000000" w:rsidRPr="00000000">
              <w:rPr>
                <w:rtl w:val="0"/>
              </w:rPr>
            </w:r>
          </w:p>
        </w:tc>
        <w:tc>
          <w:tcPr/>
          <w:p w:rsidR="00000000" w:rsidDel="00000000" w:rsidP="00000000" w:rsidRDefault="00000000" w:rsidRPr="00000000" w14:paraId="000001E3">
            <w:pPr>
              <w:jc w:val="right"/>
              <w:rPr>
                <w:sz w:val="24"/>
                <w:szCs w:val="24"/>
              </w:rPr>
            </w:pPr>
            <w:r w:rsidDel="00000000" w:rsidR="00000000" w:rsidRPr="00000000">
              <w:rPr>
                <w:sz w:val="24"/>
                <w:szCs w:val="24"/>
                <w:rtl w:val="0"/>
              </w:rPr>
              <w:t xml:space="preserve">1000</w:t>
            </w:r>
          </w:p>
        </w:tc>
      </w:tr>
    </w:tbl>
    <w:p w:rsidR="00000000" w:rsidDel="00000000" w:rsidP="00000000" w:rsidRDefault="00000000" w:rsidRPr="00000000" w14:paraId="000001E4">
      <w:pPr>
        <w:rPr>
          <w:sz w:val="24"/>
          <w:szCs w:val="24"/>
        </w:rPr>
      </w:pPr>
      <w:r w:rsidDel="00000000" w:rsidR="00000000" w:rsidRPr="00000000">
        <w:rPr>
          <w:rtl w:val="0"/>
        </w:rPr>
      </w:r>
    </w:p>
    <w:p w:rsidR="00000000" w:rsidDel="00000000" w:rsidP="00000000" w:rsidRDefault="00000000" w:rsidRPr="00000000" w14:paraId="000001E5">
      <w:pPr>
        <w:rPr>
          <w:sz w:val="24"/>
          <w:szCs w:val="24"/>
        </w:rPr>
      </w:pPr>
      <w:r w:rsidDel="00000000" w:rsidR="00000000" w:rsidRPr="00000000">
        <w:rPr>
          <w:sz w:val="24"/>
          <w:szCs w:val="24"/>
          <w:rtl w:val="0"/>
        </w:rPr>
        <w:t xml:space="preserve">Sale of these goods to Syensqo customers:</w:t>
      </w:r>
    </w:p>
    <w:tbl>
      <w:tblPr>
        <w:tblStyle w:val="Table13"/>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66"/>
        <w:gridCol w:w="1264"/>
        <w:gridCol w:w="1066"/>
        <w:tblGridChange w:id="0">
          <w:tblGrid>
            <w:gridCol w:w="7066"/>
            <w:gridCol w:w="1264"/>
            <w:gridCol w:w="1066"/>
          </w:tblGrid>
        </w:tblGridChange>
      </w:tblGrid>
      <w:tr>
        <w:trPr>
          <w:cantSplit w:val="0"/>
          <w:tblHeader w:val="0"/>
        </w:trPr>
        <w:tc>
          <w:tcPr/>
          <w:p w:rsidR="00000000" w:rsidDel="00000000" w:rsidP="00000000" w:rsidRDefault="00000000" w:rsidRPr="00000000" w14:paraId="000001E6">
            <w:pPr>
              <w:rPr>
                <w:sz w:val="24"/>
                <w:szCs w:val="24"/>
              </w:rPr>
            </w:pPr>
            <w:r w:rsidDel="00000000" w:rsidR="00000000" w:rsidRPr="00000000">
              <w:rPr>
                <w:sz w:val="24"/>
                <w:szCs w:val="24"/>
                <w:rtl w:val="0"/>
              </w:rPr>
              <w:t xml:space="preserve">Accounts receivable / Cash</w:t>
            </w:r>
          </w:p>
        </w:tc>
        <w:tc>
          <w:tcPr/>
          <w:p w:rsidR="00000000" w:rsidDel="00000000" w:rsidP="00000000" w:rsidRDefault="00000000" w:rsidRPr="00000000" w14:paraId="000001E7">
            <w:pPr>
              <w:jc w:val="right"/>
              <w:rPr>
                <w:sz w:val="24"/>
                <w:szCs w:val="24"/>
              </w:rPr>
            </w:pPr>
            <w:r w:rsidDel="00000000" w:rsidR="00000000" w:rsidRPr="00000000">
              <w:rPr>
                <w:sz w:val="24"/>
                <w:szCs w:val="24"/>
                <w:rtl w:val="0"/>
              </w:rPr>
              <w:t xml:space="preserve">1060</w:t>
            </w:r>
          </w:p>
        </w:tc>
        <w:tc>
          <w:tcPr/>
          <w:p w:rsidR="00000000" w:rsidDel="00000000" w:rsidP="00000000" w:rsidRDefault="00000000" w:rsidRPr="00000000" w14:paraId="000001E8">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E9">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1EA">
            <w:pPr>
              <w:jc w:val="right"/>
              <w:rPr>
                <w:sz w:val="24"/>
                <w:szCs w:val="24"/>
              </w:rPr>
            </w:pPr>
            <w:r w:rsidDel="00000000" w:rsidR="00000000" w:rsidRPr="00000000">
              <w:rPr>
                <w:rtl w:val="0"/>
              </w:rPr>
            </w:r>
          </w:p>
        </w:tc>
        <w:tc>
          <w:tcPr/>
          <w:p w:rsidR="00000000" w:rsidDel="00000000" w:rsidP="00000000" w:rsidRDefault="00000000" w:rsidRPr="00000000" w14:paraId="000001EB">
            <w:pPr>
              <w:jc w:val="right"/>
              <w:rPr>
                <w:sz w:val="24"/>
                <w:szCs w:val="24"/>
              </w:rPr>
            </w:pPr>
            <w:r w:rsidDel="00000000" w:rsidR="00000000" w:rsidRPr="00000000">
              <w:rPr>
                <w:sz w:val="24"/>
                <w:szCs w:val="24"/>
                <w:rtl w:val="0"/>
              </w:rPr>
              <w:t xml:space="preserve">1060</w:t>
            </w:r>
          </w:p>
        </w:tc>
      </w:tr>
      <w:tr>
        <w:trPr>
          <w:cantSplit w:val="0"/>
          <w:tblHeader w:val="0"/>
        </w:trPr>
        <w:tc>
          <w:tcPr/>
          <w:p w:rsidR="00000000" w:rsidDel="00000000" w:rsidP="00000000" w:rsidRDefault="00000000" w:rsidRPr="00000000" w14:paraId="000001EC">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1ED">
            <w:pPr>
              <w:jc w:val="right"/>
              <w:rPr>
                <w:sz w:val="24"/>
                <w:szCs w:val="24"/>
              </w:rPr>
            </w:pPr>
            <w:r w:rsidDel="00000000" w:rsidR="00000000" w:rsidRPr="00000000">
              <w:rPr>
                <w:sz w:val="24"/>
                <w:szCs w:val="24"/>
                <w:rtl w:val="0"/>
              </w:rPr>
              <w:t xml:space="preserve">1000</w:t>
            </w:r>
          </w:p>
        </w:tc>
        <w:tc>
          <w:tcPr/>
          <w:p w:rsidR="00000000" w:rsidDel="00000000" w:rsidP="00000000" w:rsidRDefault="00000000" w:rsidRPr="00000000" w14:paraId="000001EE">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EF">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1F0">
            <w:pPr>
              <w:jc w:val="right"/>
              <w:rPr>
                <w:sz w:val="24"/>
                <w:szCs w:val="24"/>
              </w:rPr>
            </w:pPr>
            <w:r w:rsidDel="00000000" w:rsidR="00000000" w:rsidRPr="00000000">
              <w:rPr>
                <w:rtl w:val="0"/>
              </w:rPr>
            </w:r>
          </w:p>
        </w:tc>
        <w:tc>
          <w:tcPr/>
          <w:p w:rsidR="00000000" w:rsidDel="00000000" w:rsidP="00000000" w:rsidRDefault="00000000" w:rsidRPr="00000000" w14:paraId="000001F1">
            <w:pPr>
              <w:jc w:val="right"/>
              <w:rPr>
                <w:sz w:val="24"/>
                <w:szCs w:val="24"/>
              </w:rPr>
            </w:pPr>
            <w:r w:rsidDel="00000000" w:rsidR="00000000" w:rsidRPr="00000000">
              <w:rPr>
                <w:sz w:val="24"/>
                <w:szCs w:val="24"/>
                <w:rtl w:val="0"/>
              </w:rPr>
              <w:t xml:space="preserve">1000</w:t>
            </w:r>
          </w:p>
        </w:tc>
      </w:tr>
    </w:tbl>
    <w:p w:rsidR="00000000" w:rsidDel="00000000" w:rsidP="00000000" w:rsidRDefault="00000000" w:rsidRPr="00000000" w14:paraId="000001F2">
      <w:pPr>
        <w:rPr>
          <w:sz w:val="24"/>
          <w:szCs w:val="24"/>
        </w:rPr>
      </w:pPr>
      <w:r w:rsidDel="00000000" w:rsidR="00000000" w:rsidRPr="00000000">
        <w:rPr>
          <w:sz w:val="24"/>
          <w:szCs w:val="24"/>
          <w:u w:val="single"/>
          <w:rtl w:val="0"/>
        </w:rPr>
        <w:t xml:space="preserve">Second leg of the swap</w:t>
      </w:r>
      <w:r w:rsidDel="00000000" w:rsidR="00000000" w:rsidRPr="00000000">
        <w:rPr>
          <w:rtl w:val="0"/>
        </w:rPr>
      </w:r>
    </w:p>
    <w:p w:rsidR="00000000" w:rsidDel="00000000" w:rsidP="00000000" w:rsidRDefault="00000000" w:rsidRPr="00000000" w14:paraId="000001F3">
      <w:pPr>
        <w:rPr>
          <w:sz w:val="24"/>
          <w:szCs w:val="24"/>
        </w:rPr>
      </w:pPr>
      <w:r w:rsidDel="00000000" w:rsidR="00000000" w:rsidRPr="00000000">
        <w:rPr>
          <w:sz w:val="24"/>
          <w:szCs w:val="24"/>
          <w:rtl w:val="0"/>
        </w:rPr>
        <w:t xml:space="preserve">Sale of goods to the third party entity in Europe:</w:t>
      </w:r>
    </w:p>
    <w:tbl>
      <w:tblPr>
        <w:tblStyle w:val="Table14"/>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71"/>
        <w:gridCol w:w="1261"/>
        <w:gridCol w:w="1064"/>
        <w:tblGridChange w:id="0">
          <w:tblGrid>
            <w:gridCol w:w="7071"/>
            <w:gridCol w:w="1261"/>
            <w:gridCol w:w="1064"/>
          </w:tblGrid>
        </w:tblGridChange>
      </w:tblGrid>
      <w:tr>
        <w:trPr>
          <w:cantSplit w:val="0"/>
          <w:tblHeader w:val="0"/>
        </w:trPr>
        <w:tc>
          <w:tcPr/>
          <w:p w:rsidR="00000000" w:rsidDel="00000000" w:rsidP="00000000" w:rsidRDefault="00000000" w:rsidRPr="00000000" w14:paraId="000001F4">
            <w:pPr>
              <w:rPr>
                <w:sz w:val="24"/>
                <w:szCs w:val="24"/>
              </w:rPr>
            </w:pPr>
            <w:r w:rsidDel="00000000" w:rsidR="00000000" w:rsidRPr="00000000">
              <w:rPr>
                <w:sz w:val="24"/>
                <w:szCs w:val="24"/>
                <w:rtl w:val="0"/>
              </w:rPr>
              <w:t xml:space="preserve">Accounts receivable / Cash</w:t>
            </w:r>
          </w:p>
        </w:tc>
        <w:tc>
          <w:tcPr/>
          <w:p w:rsidR="00000000" w:rsidDel="00000000" w:rsidP="00000000" w:rsidRDefault="00000000" w:rsidRPr="00000000" w14:paraId="000001F5">
            <w:pPr>
              <w:jc w:val="right"/>
              <w:rPr>
                <w:sz w:val="24"/>
                <w:szCs w:val="24"/>
              </w:rPr>
            </w:pPr>
            <w:r w:rsidDel="00000000" w:rsidR="00000000" w:rsidRPr="00000000">
              <w:rPr>
                <w:sz w:val="24"/>
                <w:szCs w:val="24"/>
                <w:rtl w:val="0"/>
              </w:rPr>
              <w:t xml:space="preserve">970</w:t>
            </w:r>
          </w:p>
        </w:tc>
        <w:tc>
          <w:tcPr/>
          <w:p w:rsidR="00000000" w:rsidDel="00000000" w:rsidP="00000000" w:rsidRDefault="00000000" w:rsidRPr="00000000" w14:paraId="000001F6">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F7">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1F8">
            <w:pPr>
              <w:jc w:val="right"/>
              <w:rPr>
                <w:sz w:val="24"/>
                <w:szCs w:val="24"/>
              </w:rPr>
            </w:pPr>
            <w:r w:rsidDel="00000000" w:rsidR="00000000" w:rsidRPr="00000000">
              <w:rPr>
                <w:rtl w:val="0"/>
              </w:rPr>
            </w:r>
          </w:p>
        </w:tc>
        <w:tc>
          <w:tcPr/>
          <w:p w:rsidR="00000000" w:rsidDel="00000000" w:rsidP="00000000" w:rsidRDefault="00000000" w:rsidRPr="00000000" w14:paraId="000001F9">
            <w:pPr>
              <w:jc w:val="right"/>
              <w:rPr>
                <w:sz w:val="24"/>
                <w:szCs w:val="24"/>
              </w:rPr>
            </w:pPr>
            <w:r w:rsidDel="00000000" w:rsidR="00000000" w:rsidRPr="00000000">
              <w:rPr>
                <w:sz w:val="24"/>
                <w:szCs w:val="24"/>
                <w:rtl w:val="0"/>
              </w:rPr>
              <w:t xml:space="preserve">970</w:t>
            </w:r>
          </w:p>
        </w:tc>
      </w:tr>
      <w:tr>
        <w:trPr>
          <w:cantSplit w:val="0"/>
          <w:tblHeader w:val="0"/>
        </w:trPr>
        <w:tc>
          <w:tcPr/>
          <w:p w:rsidR="00000000" w:rsidDel="00000000" w:rsidP="00000000" w:rsidRDefault="00000000" w:rsidRPr="00000000" w14:paraId="000001FA">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1FB">
            <w:pPr>
              <w:jc w:val="right"/>
              <w:rPr>
                <w:sz w:val="24"/>
                <w:szCs w:val="24"/>
              </w:rPr>
            </w:pPr>
            <w:r w:rsidDel="00000000" w:rsidR="00000000" w:rsidRPr="00000000">
              <w:rPr>
                <w:sz w:val="24"/>
                <w:szCs w:val="24"/>
                <w:rtl w:val="0"/>
              </w:rPr>
              <w:t xml:space="preserve">900</w:t>
            </w:r>
          </w:p>
        </w:tc>
        <w:tc>
          <w:tcPr/>
          <w:p w:rsidR="00000000" w:rsidDel="00000000" w:rsidP="00000000" w:rsidRDefault="00000000" w:rsidRPr="00000000" w14:paraId="000001FC">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FD">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1FE">
            <w:pPr>
              <w:jc w:val="right"/>
              <w:rPr>
                <w:sz w:val="24"/>
                <w:szCs w:val="24"/>
              </w:rPr>
            </w:pPr>
            <w:r w:rsidDel="00000000" w:rsidR="00000000" w:rsidRPr="00000000">
              <w:rPr>
                <w:rtl w:val="0"/>
              </w:rPr>
            </w:r>
          </w:p>
        </w:tc>
        <w:tc>
          <w:tcPr/>
          <w:p w:rsidR="00000000" w:rsidDel="00000000" w:rsidP="00000000" w:rsidRDefault="00000000" w:rsidRPr="00000000" w14:paraId="000001FF">
            <w:pPr>
              <w:jc w:val="right"/>
              <w:rPr>
                <w:sz w:val="24"/>
                <w:szCs w:val="24"/>
              </w:rPr>
            </w:pPr>
            <w:r w:rsidDel="00000000" w:rsidR="00000000" w:rsidRPr="00000000">
              <w:rPr>
                <w:sz w:val="24"/>
                <w:szCs w:val="24"/>
                <w:rtl w:val="0"/>
              </w:rPr>
              <w:t xml:space="preserve">900</w:t>
            </w:r>
          </w:p>
        </w:tc>
      </w:tr>
    </w:tbl>
    <w:p w:rsidR="00000000" w:rsidDel="00000000" w:rsidP="00000000" w:rsidRDefault="00000000" w:rsidRPr="00000000" w14:paraId="00000200">
      <w:pPr>
        <w:rPr>
          <w:sz w:val="24"/>
          <w:szCs w:val="24"/>
        </w:rPr>
      </w:pPr>
      <w:r w:rsidDel="00000000" w:rsidR="00000000" w:rsidRPr="00000000">
        <w:rPr>
          <w:rtl w:val="0"/>
        </w:rPr>
      </w:r>
    </w:p>
    <w:p w:rsidR="00000000" w:rsidDel="00000000" w:rsidP="00000000" w:rsidRDefault="00000000" w:rsidRPr="00000000" w14:paraId="00000201">
      <w:pPr>
        <w:rPr>
          <w:sz w:val="24"/>
          <w:szCs w:val="24"/>
        </w:rPr>
      </w:pPr>
      <w:r w:rsidDel="00000000" w:rsidR="00000000" w:rsidRPr="00000000">
        <w:rPr>
          <w:sz w:val="24"/>
          <w:szCs w:val="24"/>
          <w:rtl w:val="0"/>
        </w:rPr>
        <w:t xml:space="preserve">However, this transaction should not generate any revenue in Syensqo’s consolidated financial statements, so the following entry shall be made:</w:t>
      </w:r>
    </w:p>
    <w:tbl>
      <w:tblPr>
        <w:tblStyle w:val="Table15"/>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71"/>
        <w:gridCol w:w="1261"/>
        <w:gridCol w:w="1064"/>
        <w:tblGridChange w:id="0">
          <w:tblGrid>
            <w:gridCol w:w="7071"/>
            <w:gridCol w:w="1261"/>
            <w:gridCol w:w="1064"/>
          </w:tblGrid>
        </w:tblGridChange>
      </w:tblGrid>
      <w:tr>
        <w:trPr>
          <w:cantSplit w:val="0"/>
          <w:tblHeader w:val="0"/>
        </w:trPr>
        <w:tc>
          <w:tcPr/>
          <w:p w:rsidR="00000000" w:rsidDel="00000000" w:rsidP="00000000" w:rsidRDefault="00000000" w:rsidRPr="00000000" w14:paraId="00000202">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203">
            <w:pPr>
              <w:jc w:val="right"/>
              <w:rPr>
                <w:sz w:val="24"/>
                <w:szCs w:val="24"/>
              </w:rPr>
            </w:pPr>
            <w:r w:rsidDel="00000000" w:rsidR="00000000" w:rsidRPr="00000000">
              <w:rPr>
                <w:sz w:val="24"/>
                <w:szCs w:val="24"/>
                <w:rtl w:val="0"/>
              </w:rPr>
              <w:t xml:space="preserve">970</w:t>
            </w:r>
          </w:p>
        </w:tc>
        <w:tc>
          <w:tcPr/>
          <w:p w:rsidR="00000000" w:rsidDel="00000000" w:rsidP="00000000" w:rsidRDefault="00000000" w:rsidRPr="00000000" w14:paraId="00000204">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205">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206">
            <w:pPr>
              <w:jc w:val="right"/>
              <w:rPr>
                <w:sz w:val="24"/>
                <w:szCs w:val="24"/>
              </w:rPr>
            </w:pPr>
            <w:r w:rsidDel="00000000" w:rsidR="00000000" w:rsidRPr="00000000">
              <w:rPr>
                <w:rtl w:val="0"/>
              </w:rPr>
            </w:r>
          </w:p>
        </w:tc>
        <w:tc>
          <w:tcPr/>
          <w:p w:rsidR="00000000" w:rsidDel="00000000" w:rsidP="00000000" w:rsidRDefault="00000000" w:rsidRPr="00000000" w14:paraId="00000207">
            <w:pPr>
              <w:jc w:val="right"/>
              <w:rPr>
                <w:sz w:val="24"/>
                <w:szCs w:val="24"/>
              </w:rPr>
            </w:pPr>
            <w:r w:rsidDel="00000000" w:rsidR="00000000" w:rsidRPr="00000000">
              <w:rPr>
                <w:sz w:val="24"/>
                <w:szCs w:val="24"/>
                <w:rtl w:val="0"/>
              </w:rPr>
              <w:t xml:space="preserve">900</w:t>
            </w:r>
          </w:p>
        </w:tc>
      </w:tr>
      <w:tr>
        <w:trPr>
          <w:cantSplit w:val="0"/>
          <w:tblHeader w:val="0"/>
        </w:trPr>
        <w:tc>
          <w:tcPr/>
          <w:p w:rsidR="00000000" w:rsidDel="00000000" w:rsidP="00000000" w:rsidRDefault="00000000" w:rsidRPr="00000000" w14:paraId="00000208">
            <w:pPr>
              <w:rPr>
                <w:sz w:val="24"/>
                <w:szCs w:val="24"/>
              </w:rPr>
            </w:pPr>
            <w:r w:rsidDel="00000000" w:rsidR="00000000" w:rsidRPr="00000000">
              <w:rPr>
                <w:sz w:val="24"/>
                <w:szCs w:val="24"/>
                <w:rtl w:val="0"/>
              </w:rPr>
              <w:t xml:space="preserve">Temporary swap account</w:t>
            </w:r>
          </w:p>
        </w:tc>
        <w:tc>
          <w:tcPr/>
          <w:p w:rsidR="00000000" w:rsidDel="00000000" w:rsidP="00000000" w:rsidRDefault="00000000" w:rsidRPr="00000000" w14:paraId="00000209">
            <w:pPr>
              <w:jc w:val="right"/>
              <w:rPr>
                <w:sz w:val="24"/>
                <w:szCs w:val="24"/>
              </w:rPr>
            </w:pPr>
            <w:r w:rsidDel="00000000" w:rsidR="00000000" w:rsidRPr="00000000">
              <w:rPr>
                <w:rtl w:val="0"/>
              </w:rPr>
            </w:r>
          </w:p>
        </w:tc>
        <w:tc>
          <w:tcPr/>
          <w:p w:rsidR="00000000" w:rsidDel="00000000" w:rsidP="00000000" w:rsidRDefault="00000000" w:rsidRPr="00000000" w14:paraId="0000020A">
            <w:pPr>
              <w:jc w:val="right"/>
              <w:rPr>
                <w:sz w:val="24"/>
                <w:szCs w:val="24"/>
              </w:rPr>
            </w:pPr>
            <w:r w:rsidDel="00000000" w:rsidR="00000000" w:rsidRPr="00000000">
              <w:rPr>
                <w:sz w:val="24"/>
                <w:szCs w:val="24"/>
                <w:rtl w:val="0"/>
              </w:rPr>
              <w:t xml:space="preserve">70</w:t>
            </w:r>
          </w:p>
        </w:tc>
      </w:tr>
    </w:tbl>
    <w:p w:rsidR="00000000" w:rsidDel="00000000" w:rsidP="00000000" w:rsidRDefault="00000000" w:rsidRPr="00000000" w14:paraId="0000020B">
      <w:pPr>
        <w:rPr>
          <w:sz w:val="24"/>
          <w:szCs w:val="24"/>
        </w:rPr>
      </w:pPr>
      <w:r w:rsidDel="00000000" w:rsidR="00000000" w:rsidRPr="00000000">
        <w:rPr>
          <w:rtl w:val="0"/>
        </w:rPr>
      </w:r>
    </w:p>
    <w:p w:rsidR="00000000" w:rsidDel="00000000" w:rsidP="00000000" w:rsidRDefault="00000000" w:rsidRPr="00000000" w14:paraId="0000020C">
      <w:pPr>
        <w:jc w:val="both"/>
        <w:rPr>
          <w:sz w:val="24"/>
          <w:szCs w:val="24"/>
        </w:rPr>
      </w:pPr>
      <w:r w:rsidDel="00000000" w:rsidR="00000000" w:rsidRPr="00000000">
        <w:rPr>
          <w:sz w:val="24"/>
          <w:szCs w:val="24"/>
          <w:rtl w:val="0"/>
        </w:rPr>
        <w:t xml:space="preserve">Because the goods have already been sold to Syensqo customers in Asia, the temporary swap account in the balance sheet shall be cleared immediately through an offsetting entry in Cost of sales.  The accounting entries are as follows:</w:t>
      </w:r>
    </w:p>
    <w:tbl>
      <w:tblPr>
        <w:tblStyle w:val="Table16"/>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7076"/>
        <w:gridCol w:w="1259"/>
        <w:gridCol w:w="1061"/>
        <w:tblGridChange w:id="0">
          <w:tblGrid>
            <w:gridCol w:w="7076"/>
            <w:gridCol w:w="1259"/>
            <w:gridCol w:w="1061"/>
          </w:tblGrid>
        </w:tblGridChange>
      </w:tblGrid>
      <w:tr>
        <w:trPr>
          <w:cantSplit w:val="0"/>
          <w:tblHeader w:val="0"/>
        </w:trPr>
        <w:tc>
          <w:tcPr/>
          <w:p w:rsidR="00000000" w:rsidDel="00000000" w:rsidP="00000000" w:rsidRDefault="00000000" w:rsidRPr="00000000" w14:paraId="0000020D">
            <w:pPr>
              <w:jc w:val="both"/>
              <w:rPr>
                <w:sz w:val="24"/>
                <w:szCs w:val="24"/>
              </w:rPr>
            </w:pPr>
            <w:r w:rsidDel="00000000" w:rsidR="00000000" w:rsidRPr="00000000">
              <w:rPr>
                <w:sz w:val="24"/>
                <w:szCs w:val="24"/>
                <w:rtl w:val="0"/>
              </w:rPr>
              <w:t xml:space="preserve">Temporary swap account</w:t>
            </w:r>
          </w:p>
        </w:tc>
        <w:tc>
          <w:tcPr/>
          <w:p w:rsidR="00000000" w:rsidDel="00000000" w:rsidP="00000000" w:rsidRDefault="00000000" w:rsidRPr="00000000" w14:paraId="0000020E">
            <w:pPr>
              <w:jc w:val="right"/>
              <w:rPr>
                <w:sz w:val="24"/>
                <w:szCs w:val="24"/>
              </w:rPr>
            </w:pPr>
            <w:r w:rsidDel="00000000" w:rsidR="00000000" w:rsidRPr="00000000">
              <w:rPr>
                <w:sz w:val="24"/>
                <w:szCs w:val="24"/>
                <w:rtl w:val="0"/>
              </w:rPr>
              <w:t xml:space="preserve">70</w:t>
            </w:r>
          </w:p>
        </w:tc>
        <w:tc>
          <w:tcPr/>
          <w:p w:rsidR="00000000" w:rsidDel="00000000" w:rsidP="00000000" w:rsidRDefault="00000000" w:rsidRPr="00000000" w14:paraId="0000020F">
            <w:pPr>
              <w:jc w:val="righ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210">
            <w:pPr>
              <w:jc w:val="both"/>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211">
            <w:pPr>
              <w:jc w:val="right"/>
              <w:rPr>
                <w:sz w:val="24"/>
                <w:szCs w:val="24"/>
              </w:rPr>
            </w:pPr>
            <w:r w:rsidDel="00000000" w:rsidR="00000000" w:rsidRPr="00000000">
              <w:rPr>
                <w:rtl w:val="0"/>
              </w:rPr>
            </w:r>
          </w:p>
        </w:tc>
        <w:tc>
          <w:tcPr/>
          <w:p w:rsidR="00000000" w:rsidDel="00000000" w:rsidP="00000000" w:rsidRDefault="00000000" w:rsidRPr="00000000" w14:paraId="00000212">
            <w:pPr>
              <w:jc w:val="right"/>
              <w:rPr>
                <w:sz w:val="24"/>
                <w:szCs w:val="24"/>
              </w:rPr>
            </w:pPr>
            <w:r w:rsidDel="00000000" w:rsidR="00000000" w:rsidRPr="00000000">
              <w:rPr>
                <w:sz w:val="24"/>
                <w:szCs w:val="24"/>
                <w:rtl w:val="0"/>
              </w:rPr>
              <w:t xml:space="preserve">70</w:t>
            </w:r>
          </w:p>
        </w:tc>
      </w:tr>
    </w:tbl>
    <w:p w:rsidR="00000000" w:rsidDel="00000000" w:rsidP="00000000" w:rsidRDefault="00000000" w:rsidRPr="00000000" w14:paraId="00000213">
      <w:pPr>
        <w:jc w:val="both"/>
        <w:rPr>
          <w:sz w:val="24"/>
          <w:szCs w:val="24"/>
        </w:rPr>
      </w:pPr>
      <w:r w:rsidDel="00000000" w:rsidR="00000000" w:rsidRPr="00000000">
        <w:rPr>
          <w:rtl w:val="0"/>
        </w:rPr>
      </w:r>
    </w:p>
    <w:p w:rsidR="00000000" w:rsidDel="00000000" w:rsidP="00000000" w:rsidRDefault="00000000" w:rsidRPr="00000000" w14:paraId="00000214">
      <w:pPr>
        <w:rPr>
          <w:sz w:val="24"/>
          <w:szCs w:val="24"/>
        </w:rPr>
      </w:pPr>
      <w:r w:rsidDel="00000000" w:rsidR="00000000" w:rsidRPr="00000000">
        <w:rPr>
          <w:sz w:val="24"/>
          <w:szCs w:val="24"/>
          <w:rtl w:val="0"/>
        </w:rPr>
        <w:t xml:space="preserve">Therefore the overall swap combined with the sale of goods to end customers would appear as follows in Syensqo’s consolidated financial statements:</w:t>
      </w:r>
    </w:p>
    <w:tbl>
      <w:tblPr>
        <w:tblStyle w:val="Table17"/>
        <w:tblW w:w="939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00"/>
      </w:tblPr>
      <w:tblGrid>
        <w:gridCol w:w="2198"/>
        <w:gridCol w:w="939"/>
        <w:gridCol w:w="2262"/>
        <w:gridCol w:w="859"/>
        <w:gridCol w:w="2077"/>
        <w:gridCol w:w="1061"/>
        <w:tblGridChange w:id="0">
          <w:tblGrid>
            <w:gridCol w:w="2198"/>
            <w:gridCol w:w="939"/>
            <w:gridCol w:w="2262"/>
            <w:gridCol w:w="859"/>
            <w:gridCol w:w="2077"/>
            <w:gridCol w:w="1061"/>
          </w:tblGrid>
        </w:tblGridChange>
      </w:tblGrid>
      <w:tr>
        <w:trPr>
          <w:cantSplit w:val="0"/>
          <w:tblHeader w:val="0"/>
        </w:trPr>
        <w:tc>
          <w:tcPr>
            <w:gridSpan w:val="4"/>
            <w:vAlign w:val="center"/>
          </w:tcPr>
          <w:p w:rsidR="00000000" w:rsidDel="00000000" w:rsidP="00000000" w:rsidRDefault="00000000" w:rsidRPr="00000000" w14:paraId="00000215">
            <w:pPr>
              <w:jc w:val="center"/>
              <w:rPr>
                <w:sz w:val="24"/>
                <w:szCs w:val="24"/>
              </w:rPr>
            </w:pPr>
            <w:r w:rsidDel="00000000" w:rsidR="00000000" w:rsidRPr="00000000">
              <w:rPr>
                <w:sz w:val="24"/>
                <w:szCs w:val="24"/>
                <w:rtl w:val="0"/>
              </w:rPr>
              <w:t xml:space="preserve">Balance sheet</w:t>
            </w:r>
          </w:p>
        </w:tc>
        <w:tc>
          <w:tcPr>
            <w:gridSpan w:val="2"/>
            <w:vMerge w:val="restart"/>
            <w:vAlign w:val="center"/>
          </w:tcPr>
          <w:p w:rsidR="00000000" w:rsidDel="00000000" w:rsidP="00000000" w:rsidRDefault="00000000" w:rsidRPr="00000000" w14:paraId="00000219">
            <w:pPr>
              <w:jc w:val="center"/>
              <w:rPr>
                <w:sz w:val="24"/>
                <w:szCs w:val="24"/>
              </w:rPr>
            </w:pPr>
            <w:r w:rsidDel="00000000" w:rsidR="00000000" w:rsidRPr="00000000">
              <w:rPr>
                <w:sz w:val="24"/>
                <w:szCs w:val="24"/>
                <w:rtl w:val="0"/>
              </w:rPr>
              <w:t xml:space="preserve">Income statement</w:t>
            </w:r>
          </w:p>
        </w:tc>
      </w:tr>
      <w:tr>
        <w:trPr>
          <w:cantSplit w:val="0"/>
          <w:tblHeader w:val="0"/>
        </w:trPr>
        <w:tc>
          <w:tcPr>
            <w:gridSpan w:val="2"/>
            <w:vAlign w:val="center"/>
          </w:tcPr>
          <w:p w:rsidR="00000000" w:rsidDel="00000000" w:rsidP="00000000" w:rsidRDefault="00000000" w:rsidRPr="00000000" w14:paraId="0000021B">
            <w:pPr>
              <w:jc w:val="center"/>
              <w:rPr>
                <w:sz w:val="24"/>
                <w:szCs w:val="24"/>
              </w:rPr>
            </w:pPr>
            <w:r w:rsidDel="00000000" w:rsidR="00000000" w:rsidRPr="00000000">
              <w:rPr>
                <w:sz w:val="24"/>
                <w:szCs w:val="24"/>
                <w:rtl w:val="0"/>
              </w:rPr>
              <w:t xml:space="preserve">Assets</w:t>
            </w:r>
          </w:p>
        </w:tc>
        <w:tc>
          <w:tcPr>
            <w:gridSpan w:val="2"/>
            <w:vAlign w:val="center"/>
          </w:tcPr>
          <w:p w:rsidR="00000000" w:rsidDel="00000000" w:rsidP="00000000" w:rsidRDefault="00000000" w:rsidRPr="00000000" w14:paraId="0000021D">
            <w:pPr>
              <w:jc w:val="center"/>
              <w:rPr>
                <w:sz w:val="24"/>
                <w:szCs w:val="24"/>
              </w:rPr>
            </w:pPr>
            <w:r w:rsidDel="00000000" w:rsidR="00000000" w:rsidRPr="00000000">
              <w:rPr>
                <w:sz w:val="24"/>
                <w:szCs w:val="24"/>
                <w:rtl w:val="0"/>
              </w:rPr>
              <w:t xml:space="preserve">Equity &amp; liabilities</w:t>
            </w:r>
          </w:p>
        </w:tc>
        <w:tc>
          <w:tcPr>
            <w:gridSpan w:val="2"/>
            <w:vMerge w:val="continue"/>
            <w:vAlign w:val="center"/>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221">
            <w:pPr>
              <w:rPr>
                <w:sz w:val="24"/>
                <w:szCs w:val="24"/>
              </w:rPr>
            </w:pPr>
            <w:r w:rsidDel="00000000" w:rsidR="00000000" w:rsidRPr="00000000">
              <w:rPr>
                <w:sz w:val="24"/>
                <w:szCs w:val="24"/>
                <w:rtl w:val="0"/>
              </w:rPr>
              <w:t xml:space="preserve">Cash</w:t>
            </w:r>
          </w:p>
        </w:tc>
        <w:tc>
          <w:tcPr/>
          <w:p w:rsidR="00000000" w:rsidDel="00000000" w:rsidP="00000000" w:rsidRDefault="00000000" w:rsidRPr="00000000" w14:paraId="00000222">
            <w:pPr>
              <w:jc w:val="right"/>
              <w:rPr>
                <w:sz w:val="24"/>
                <w:szCs w:val="24"/>
              </w:rPr>
            </w:pPr>
            <w:r w:rsidDel="00000000" w:rsidR="00000000" w:rsidRPr="00000000">
              <w:rPr>
                <w:sz w:val="24"/>
                <w:szCs w:val="24"/>
                <w:rtl w:val="0"/>
              </w:rPr>
              <w:t xml:space="preserve">1030</w:t>
            </w:r>
          </w:p>
        </w:tc>
        <w:tc>
          <w:tcPr/>
          <w:p w:rsidR="00000000" w:rsidDel="00000000" w:rsidP="00000000" w:rsidRDefault="00000000" w:rsidRPr="00000000" w14:paraId="00000223">
            <w:pPr>
              <w:rPr>
                <w:sz w:val="24"/>
                <w:szCs w:val="24"/>
              </w:rPr>
            </w:pPr>
            <w:r w:rsidDel="00000000" w:rsidR="00000000" w:rsidRPr="00000000">
              <w:rPr>
                <w:sz w:val="24"/>
                <w:szCs w:val="24"/>
                <w:rtl w:val="0"/>
              </w:rPr>
              <w:t xml:space="preserve">Equity </w:t>
            </w:r>
          </w:p>
        </w:tc>
        <w:tc>
          <w:tcPr/>
          <w:p w:rsidR="00000000" w:rsidDel="00000000" w:rsidP="00000000" w:rsidRDefault="00000000" w:rsidRPr="00000000" w14:paraId="00000224">
            <w:pPr>
              <w:jc w:val="right"/>
              <w:rPr>
                <w:sz w:val="24"/>
                <w:szCs w:val="24"/>
              </w:rPr>
            </w:pPr>
            <w:r w:rsidDel="00000000" w:rsidR="00000000" w:rsidRPr="00000000">
              <w:rPr>
                <w:sz w:val="24"/>
                <w:szCs w:val="24"/>
                <w:rtl w:val="0"/>
              </w:rPr>
              <w:t xml:space="preserve">130</w:t>
            </w:r>
          </w:p>
        </w:tc>
        <w:tc>
          <w:tcPr/>
          <w:p w:rsidR="00000000" w:rsidDel="00000000" w:rsidP="00000000" w:rsidRDefault="00000000" w:rsidRPr="00000000" w14:paraId="00000225">
            <w:pPr>
              <w:rPr>
                <w:sz w:val="24"/>
                <w:szCs w:val="24"/>
              </w:rPr>
            </w:pPr>
            <w:r w:rsidDel="00000000" w:rsidR="00000000" w:rsidRPr="00000000">
              <w:rPr>
                <w:sz w:val="24"/>
                <w:szCs w:val="24"/>
                <w:rtl w:val="0"/>
              </w:rPr>
              <w:t xml:space="preserve">Revenue</w:t>
            </w:r>
          </w:p>
        </w:tc>
        <w:tc>
          <w:tcPr/>
          <w:p w:rsidR="00000000" w:rsidDel="00000000" w:rsidP="00000000" w:rsidRDefault="00000000" w:rsidRPr="00000000" w14:paraId="00000226">
            <w:pPr>
              <w:jc w:val="right"/>
              <w:rPr>
                <w:sz w:val="24"/>
                <w:szCs w:val="24"/>
              </w:rPr>
            </w:pPr>
            <w:r w:rsidDel="00000000" w:rsidR="00000000" w:rsidRPr="00000000">
              <w:rPr>
                <w:sz w:val="24"/>
                <w:szCs w:val="24"/>
                <w:rtl w:val="0"/>
              </w:rPr>
              <w:t xml:space="preserve">1060</w:t>
            </w:r>
          </w:p>
        </w:tc>
      </w:tr>
      <w:tr>
        <w:trPr>
          <w:cantSplit w:val="0"/>
          <w:tblHeader w:val="0"/>
        </w:trPr>
        <w:tc>
          <w:tcPr/>
          <w:p w:rsidR="00000000" w:rsidDel="00000000" w:rsidP="00000000" w:rsidRDefault="00000000" w:rsidRPr="00000000" w14:paraId="00000227">
            <w:pPr>
              <w:rPr>
                <w:sz w:val="24"/>
                <w:szCs w:val="24"/>
              </w:rPr>
            </w:pPr>
            <w:r w:rsidDel="00000000" w:rsidR="00000000" w:rsidRPr="00000000">
              <w:rPr>
                <w:sz w:val="24"/>
                <w:szCs w:val="24"/>
                <w:rtl w:val="0"/>
              </w:rPr>
              <w:t xml:space="preserve">Inventory</w:t>
            </w:r>
          </w:p>
        </w:tc>
        <w:tc>
          <w:tcPr/>
          <w:p w:rsidR="00000000" w:rsidDel="00000000" w:rsidP="00000000" w:rsidRDefault="00000000" w:rsidRPr="00000000" w14:paraId="00000228">
            <w:pPr>
              <w:jc w:val="right"/>
              <w:rPr>
                <w:sz w:val="24"/>
                <w:szCs w:val="24"/>
              </w:rPr>
            </w:pPr>
            <w:r w:rsidDel="00000000" w:rsidR="00000000" w:rsidRPr="00000000">
              <w:rPr>
                <w:sz w:val="24"/>
                <w:szCs w:val="24"/>
                <w:rtl w:val="0"/>
              </w:rPr>
              <w:t xml:space="preserve">-900</w:t>
            </w:r>
          </w:p>
        </w:tc>
        <w:tc>
          <w:tcPr/>
          <w:p w:rsidR="00000000" w:rsidDel="00000000" w:rsidP="00000000" w:rsidRDefault="00000000" w:rsidRPr="00000000" w14:paraId="00000229">
            <w:pPr>
              <w:rPr>
                <w:sz w:val="24"/>
                <w:szCs w:val="24"/>
              </w:rPr>
            </w:pPr>
            <w:r w:rsidDel="00000000" w:rsidR="00000000" w:rsidRPr="00000000">
              <w:rPr>
                <w:rtl w:val="0"/>
              </w:rPr>
            </w:r>
          </w:p>
        </w:tc>
        <w:tc>
          <w:tcPr/>
          <w:p w:rsidR="00000000" w:rsidDel="00000000" w:rsidP="00000000" w:rsidRDefault="00000000" w:rsidRPr="00000000" w14:paraId="0000022A">
            <w:pPr>
              <w:jc w:val="right"/>
              <w:rPr>
                <w:sz w:val="24"/>
                <w:szCs w:val="24"/>
              </w:rPr>
            </w:pPr>
            <w:r w:rsidDel="00000000" w:rsidR="00000000" w:rsidRPr="00000000">
              <w:rPr>
                <w:rtl w:val="0"/>
              </w:rPr>
            </w:r>
          </w:p>
        </w:tc>
        <w:tc>
          <w:tcPr/>
          <w:p w:rsidR="00000000" w:rsidDel="00000000" w:rsidP="00000000" w:rsidRDefault="00000000" w:rsidRPr="00000000" w14:paraId="0000022B">
            <w:pPr>
              <w:rPr>
                <w:sz w:val="24"/>
                <w:szCs w:val="24"/>
              </w:rPr>
            </w:pPr>
            <w:r w:rsidDel="00000000" w:rsidR="00000000" w:rsidRPr="00000000">
              <w:rPr>
                <w:sz w:val="24"/>
                <w:szCs w:val="24"/>
                <w:rtl w:val="0"/>
              </w:rPr>
              <w:t xml:space="preserve">Cost of sales</w:t>
            </w:r>
          </w:p>
        </w:tc>
        <w:tc>
          <w:tcPr/>
          <w:p w:rsidR="00000000" w:rsidDel="00000000" w:rsidP="00000000" w:rsidRDefault="00000000" w:rsidRPr="00000000" w14:paraId="0000022C">
            <w:pPr>
              <w:jc w:val="right"/>
              <w:rPr>
                <w:sz w:val="24"/>
                <w:szCs w:val="24"/>
              </w:rPr>
            </w:pPr>
            <w:r w:rsidDel="00000000" w:rsidR="00000000" w:rsidRPr="00000000">
              <w:rPr>
                <w:sz w:val="24"/>
                <w:szCs w:val="24"/>
                <w:rtl w:val="0"/>
              </w:rPr>
              <w:t xml:space="preserve">- 930</w:t>
            </w:r>
          </w:p>
        </w:tc>
      </w:tr>
      <w:tr>
        <w:trPr>
          <w:cantSplit w:val="0"/>
          <w:tblHeader w:val="0"/>
        </w:trPr>
        <w:tc>
          <w:tcPr/>
          <w:p w:rsidR="00000000" w:rsidDel="00000000" w:rsidP="00000000" w:rsidRDefault="00000000" w:rsidRPr="00000000" w14:paraId="0000022D">
            <w:pPr>
              <w:rPr>
                <w:b w:val="1"/>
                <w:bCs w:val="1"/>
                <w:sz w:val="24"/>
                <w:szCs w:val="24"/>
              </w:rPr>
            </w:pPr>
            <w:r w:rsidDel="00000000" w:rsidR="00000000" w:rsidRPr="00000000">
              <w:rPr>
                <w:b w:val="1"/>
                <w:bCs w:val="1"/>
                <w:sz w:val="24"/>
                <w:szCs w:val="24"/>
                <w:rtl w:val="0"/>
              </w:rPr>
              <w:t xml:space="preserve">Total</w:t>
            </w:r>
          </w:p>
        </w:tc>
        <w:tc>
          <w:tcPr/>
          <w:p w:rsidR="00000000" w:rsidDel="00000000" w:rsidP="00000000" w:rsidRDefault="00000000" w:rsidRPr="00000000" w14:paraId="0000022E">
            <w:pPr>
              <w:jc w:val="right"/>
              <w:rPr>
                <w:b w:val="1"/>
                <w:bCs w:val="1"/>
                <w:sz w:val="24"/>
                <w:szCs w:val="24"/>
              </w:rPr>
            </w:pPr>
            <w:r w:rsidDel="00000000" w:rsidR="00000000" w:rsidRPr="00000000">
              <w:rPr>
                <w:b w:val="1"/>
                <w:bCs w:val="1"/>
                <w:sz w:val="24"/>
                <w:szCs w:val="24"/>
                <w:rtl w:val="0"/>
              </w:rPr>
              <w:t xml:space="preserve">130</w:t>
            </w:r>
          </w:p>
        </w:tc>
        <w:tc>
          <w:tcPr/>
          <w:p w:rsidR="00000000" w:rsidDel="00000000" w:rsidP="00000000" w:rsidRDefault="00000000" w:rsidRPr="00000000" w14:paraId="0000022F">
            <w:pPr>
              <w:rPr>
                <w:b w:val="1"/>
                <w:bCs w:val="1"/>
                <w:sz w:val="24"/>
                <w:szCs w:val="24"/>
              </w:rPr>
            </w:pPr>
            <w:r w:rsidDel="00000000" w:rsidR="00000000" w:rsidRPr="00000000">
              <w:rPr>
                <w:b w:val="1"/>
                <w:bCs w:val="1"/>
                <w:sz w:val="24"/>
                <w:szCs w:val="24"/>
                <w:rtl w:val="0"/>
              </w:rPr>
              <w:t xml:space="preserve">Total</w:t>
            </w:r>
          </w:p>
        </w:tc>
        <w:tc>
          <w:tcPr/>
          <w:p w:rsidR="00000000" w:rsidDel="00000000" w:rsidP="00000000" w:rsidRDefault="00000000" w:rsidRPr="00000000" w14:paraId="00000230">
            <w:pPr>
              <w:jc w:val="right"/>
              <w:rPr>
                <w:b w:val="1"/>
                <w:bCs w:val="1"/>
                <w:sz w:val="24"/>
                <w:szCs w:val="24"/>
              </w:rPr>
            </w:pPr>
            <w:r w:rsidDel="00000000" w:rsidR="00000000" w:rsidRPr="00000000">
              <w:rPr>
                <w:b w:val="1"/>
                <w:bCs w:val="1"/>
                <w:sz w:val="24"/>
                <w:szCs w:val="24"/>
                <w:rtl w:val="0"/>
              </w:rPr>
              <w:t xml:space="preserve">130</w:t>
            </w:r>
          </w:p>
        </w:tc>
        <w:tc>
          <w:tcPr/>
          <w:p w:rsidR="00000000" w:rsidDel="00000000" w:rsidP="00000000" w:rsidRDefault="00000000" w:rsidRPr="00000000" w14:paraId="00000231">
            <w:pPr>
              <w:rPr>
                <w:b w:val="1"/>
                <w:bCs w:val="1"/>
                <w:sz w:val="24"/>
                <w:szCs w:val="24"/>
              </w:rPr>
            </w:pPr>
            <w:r w:rsidDel="00000000" w:rsidR="00000000" w:rsidRPr="00000000">
              <w:rPr>
                <w:b w:val="1"/>
                <w:bCs w:val="1"/>
                <w:sz w:val="24"/>
                <w:szCs w:val="24"/>
                <w:rtl w:val="0"/>
              </w:rPr>
              <w:t xml:space="preserve">Operating income</w:t>
            </w:r>
          </w:p>
        </w:tc>
        <w:tc>
          <w:tcPr/>
          <w:p w:rsidR="00000000" w:rsidDel="00000000" w:rsidP="00000000" w:rsidRDefault="00000000" w:rsidRPr="00000000" w14:paraId="00000232">
            <w:pPr>
              <w:jc w:val="right"/>
              <w:rPr>
                <w:b w:val="1"/>
                <w:bCs w:val="1"/>
                <w:sz w:val="24"/>
                <w:szCs w:val="24"/>
              </w:rPr>
            </w:pPr>
            <w:r w:rsidDel="00000000" w:rsidR="00000000" w:rsidRPr="00000000">
              <w:rPr>
                <w:b w:val="1"/>
                <w:bCs w:val="1"/>
                <w:sz w:val="24"/>
                <w:szCs w:val="24"/>
                <w:rtl w:val="0"/>
              </w:rPr>
              <w:t xml:space="preserve">130</w:t>
            </w:r>
          </w:p>
        </w:tc>
      </w:tr>
    </w:tbl>
    <w:p w:rsidR="00000000" w:rsidDel="00000000" w:rsidP="00000000" w:rsidRDefault="00000000" w:rsidRPr="00000000" w14:paraId="00000233">
      <w:pPr>
        <w:rPr>
          <w:sz w:val="24"/>
          <w:szCs w:val="24"/>
        </w:rPr>
      </w:pPr>
      <w:r w:rsidDel="00000000" w:rsidR="00000000" w:rsidRPr="00000000">
        <w:rPr>
          <w:rtl w:val="0"/>
        </w:rPr>
      </w:r>
    </w:p>
    <w:p w:rsidR="00000000" w:rsidDel="00000000" w:rsidP="00000000" w:rsidRDefault="00000000" w:rsidRPr="00000000" w14:paraId="00000234">
      <w:pPr>
        <w:pStyle w:val="Heading3"/>
        <w:numPr>
          <w:ilvl w:val="0"/>
          <w:numId w:val="35"/>
        </w:numPr>
        <w:ind w:left="426" w:hanging="360"/>
        <w:rPr>
          <w:sz w:val="24"/>
          <w:szCs w:val="24"/>
        </w:rPr>
      </w:pPr>
      <w:bookmarkStart w:colFirst="0" w:colLast="0" w:name="_heading=h.peg8ujw8vrza" w:id="28"/>
      <w:bookmarkEnd w:id="28"/>
      <w:r w:rsidDel="00000000" w:rsidR="00000000" w:rsidRPr="00000000">
        <w:rPr>
          <w:sz w:val="24"/>
          <w:szCs w:val="24"/>
          <w:rtl w:val="0"/>
        </w:rPr>
        <w:t xml:space="preserve">Treatment of the temporary swap account at the end of the accounting period - Deduction from inventory</w:t>
      </w:r>
    </w:p>
    <w:p w:rsidR="00000000" w:rsidDel="00000000" w:rsidP="00000000" w:rsidRDefault="00000000" w:rsidRPr="00000000" w14:paraId="00000235">
      <w:pPr>
        <w:jc w:val="both"/>
        <w:rPr>
          <w:sz w:val="24"/>
          <w:szCs w:val="24"/>
        </w:rPr>
      </w:pPr>
      <w:r w:rsidDel="00000000" w:rsidR="00000000" w:rsidRPr="00000000">
        <w:rPr>
          <w:sz w:val="24"/>
          <w:szCs w:val="24"/>
          <w:rtl w:val="0"/>
        </w:rPr>
        <w:t xml:space="preserve">At the end of each quarter, any credit balance in the temporary swap account shall be reclassified to inventory acquired in the swap transaction, hence decreasing the cost of those inventory items at consolidated level.</w:t>
      </w:r>
    </w:p>
    <w:p w:rsidR="00000000" w:rsidDel="00000000" w:rsidP="00000000" w:rsidRDefault="00000000" w:rsidRPr="00000000" w14:paraId="00000236">
      <w:pPr>
        <w:jc w:val="both"/>
        <w:rPr>
          <w:sz w:val="24"/>
          <w:szCs w:val="24"/>
        </w:rPr>
      </w:pPr>
      <w:r w:rsidDel="00000000" w:rsidR="00000000" w:rsidRPr="00000000">
        <w:rPr>
          <w:sz w:val="24"/>
          <w:szCs w:val="24"/>
          <w:rtl w:val="0"/>
        </w:rPr>
        <w:t xml:space="preserve">This is because the margin from the sale of goods to the partner is included in (/deducted from) the recognized inventory value of the goods received in the swap. However, there may be situations when the goods have not yet been purchased, or have only partially been purchased. In this case, only a pro rata portion of this temporary swap account shall be reclassified to those inventory items. </w:t>
      </w:r>
    </w:p>
    <w:p w:rsidR="00000000" w:rsidDel="00000000" w:rsidP="00000000" w:rsidRDefault="00000000" w:rsidRPr="00000000" w14:paraId="00000237">
      <w:pPr>
        <w:pStyle w:val="Heading3"/>
        <w:numPr>
          <w:ilvl w:val="0"/>
          <w:numId w:val="35"/>
        </w:numPr>
        <w:ind w:left="426" w:hanging="360"/>
        <w:rPr>
          <w:sz w:val="24"/>
          <w:szCs w:val="24"/>
        </w:rPr>
      </w:pPr>
      <w:bookmarkStart w:colFirst="0" w:colLast="0" w:name="_heading=h.y3mrshdcodka" w:id="29"/>
      <w:bookmarkEnd w:id="29"/>
      <w:r w:rsidDel="00000000" w:rsidR="00000000" w:rsidRPr="00000000">
        <w:rPr>
          <w:sz w:val="24"/>
          <w:szCs w:val="24"/>
          <w:rtl w:val="0"/>
        </w:rPr>
        <w:t xml:space="preserve">Off balance sheet commitments that must be disclosed if a purchase transaction under a swap contract has not been completed at the period end date</w:t>
      </w:r>
    </w:p>
    <w:p w:rsidR="00000000" w:rsidDel="00000000" w:rsidP="00000000" w:rsidRDefault="00000000" w:rsidRPr="00000000" w14:paraId="00000238">
      <w:pPr>
        <w:jc w:val="both"/>
        <w:rPr>
          <w:sz w:val="24"/>
          <w:szCs w:val="24"/>
        </w:rPr>
      </w:pPr>
      <w:r w:rsidDel="00000000" w:rsidR="00000000" w:rsidRPr="00000000">
        <w:rPr>
          <w:sz w:val="24"/>
          <w:szCs w:val="24"/>
          <w:rtl w:val="0"/>
        </w:rPr>
        <w:t xml:space="preserve">At the end of each year, any material outstanding commitment related to a purchase transaction following an unbalance (ie more sales than purchased took place at end of period) under a swap contract must be disclosed in the company’s off-balance sheet commitments.</w:t>
      </w:r>
    </w:p>
    <w:p w:rsidR="00000000" w:rsidDel="00000000" w:rsidP="00000000" w:rsidRDefault="00000000" w:rsidRPr="00000000" w14:paraId="00000239">
      <w:pPr>
        <w:pStyle w:val="Heading2"/>
        <w:numPr>
          <w:ilvl w:val="0"/>
          <w:numId w:val="32"/>
        </w:numPr>
        <w:ind w:left="1440" w:hanging="360"/>
        <w:rPr>
          <w:sz w:val="28"/>
          <w:szCs w:val="28"/>
        </w:rPr>
      </w:pPr>
      <w:bookmarkStart w:colFirst="0" w:colLast="0" w:name="_heading=h.jztnrjsce5zg" w:id="30"/>
      <w:bookmarkEnd w:id="30"/>
      <w:r w:rsidDel="00000000" w:rsidR="00000000" w:rsidRPr="00000000">
        <w:rPr>
          <w:rtl w:val="0"/>
        </w:rPr>
        <w:t xml:space="preserve">Contract modifications</w:t>
      </w:r>
      <w:r w:rsidDel="00000000" w:rsidR="00000000" w:rsidRPr="00000000">
        <w:rPr>
          <w:rtl w:val="0"/>
        </w:rPr>
      </w:r>
    </w:p>
    <w:p w:rsidR="00000000" w:rsidDel="00000000" w:rsidP="00000000" w:rsidRDefault="00000000" w:rsidRPr="00000000" w14:paraId="0000023A">
      <w:pPr>
        <w:jc w:val="both"/>
        <w:rPr>
          <w:sz w:val="24"/>
          <w:szCs w:val="24"/>
        </w:rPr>
      </w:pPr>
      <w:r w:rsidDel="00000000" w:rsidR="00000000" w:rsidRPr="00000000">
        <w:rPr>
          <w:sz w:val="24"/>
          <w:szCs w:val="24"/>
          <w:rtl w:val="0"/>
        </w:rPr>
        <w:t xml:space="preserve">Parties to an arrangement frequently agree to modify the scope or price (or both) of their contract.  If that happens, an entity must determine whether the modification creates a new contract or whether it is accounted for as part of the existing contract.</w:t>
      </w:r>
    </w:p>
    <w:p w:rsidR="00000000" w:rsidDel="00000000" w:rsidP="00000000" w:rsidRDefault="00000000" w:rsidRPr="00000000" w14:paraId="0000023B">
      <w:pPr>
        <w:jc w:val="both"/>
        <w:rPr>
          <w:sz w:val="24"/>
          <w:szCs w:val="24"/>
        </w:rPr>
      </w:pPr>
      <w:r w:rsidDel="00000000" w:rsidR="00000000" w:rsidRPr="00000000">
        <w:rPr>
          <w:sz w:val="24"/>
          <w:szCs w:val="24"/>
          <w:rtl w:val="0"/>
        </w:rPr>
        <w:t xml:space="preserve">A contract modification exists when the parties to a contract approve a modification that either creates new or changes existing enforceable rights and obligations of the parties to the contract.</w:t>
      </w:r>
    </w:p>
    <w:p w:rsidR="00000000" w:rsidDel="00000000" w:rsidP="00000000" w:rsidRDefault="00000000" w:rsidRPr="00000000" w14:paraId="0000023C">
      <w:pPr>
        <w:pStyle w:val="Heading3"/>
        <w:numPr>
          <w:ilvl w:val="0"/>
          <w:numId w:val="35"/>
        </w:numPr>
        <w:ind w:left="426" w:hanging="360"/>
        <w:rPr/>
      </w:pPr>
      <w:bookmarkStart w:colFirst="0" w:colLast="0" w:name="_heading=h.v9ztestfgmy5" w:id="31"/>
      <w:bookmarkEnd w:id="31"/>
      <w:r w:rsidDel="00000000" w:rsidR="00000000" w:rsidRPr="00000000">
        <w:rPr>
          <w:rtl w:val="0"/>
        </w:rPr>
        <w:t xml:space="preserve">Contract modification represents a separate contract</w:t>
      </w:r>
    </w:p>
    <w:p w:rsidR="00000000" w:rsidDel="00000000" w:rsidP="00000000" w:rsidRDefault="00000000" w:rsidRPr="00000000" w14:paraId="0000023D">
      <w:pPr>
        <w:jc w:val="both"/>
        <w:rPr>
          <w:sz w:val="24"/>
          <w:szCs w:val="24"/>
        </w:rPr>
      </w:pPr>
      <w:r w:rsidDel="00000000" w:rsidR="00000000" w:rsidRPr="00000000">
        <w:rPr>
          <w:sz w:val="24"/>
          <w:szCs w:val="24"/>
          <w:rtl w:val="0"/>
        </w:rPr>
        <w:t xml:space="preserve">Two criteria must be met for a modification to be treated as a separate contract:</w:t>
      </w:r>
    </w:p>
    <w:p w:rsidR="00000000" w:rsidDel="00000000" w:rsidP="00000000" w:rsidRDefault="00000000" w:rsidRPr="00000000" w14:paraId="0000023E">
      <w:pPr>
        <w:numPr>
          <w:ilvl w:val="0"/>
          <w:numId w:val="21"/>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additional goods and services in the modification must be </w:t>
      </w:r>
      <w:r w:rsidDel="00000000" w:rsidR="00000000" w:rsidRPr="00000000">
        <w:rPr>
          <w:i w:val="1"/>
          <w:iCs w:val="1"/>
          <w:color w:val="000000"/>
          <w:sz w:val="24"/>
          <w:szCs w:val="24"/>
          <w:u w:val="single"/>
          <w:rtl w:val="0"/>
        </w:rPr>
        <w:t xml:space="preserve">distinct</w:t>
      </w:r>
      <w:r w:rsidDel="00000000" w:rsidR="00000000" w:rsidRPr="00000000">
        <w:rPr>
          <w:color w:val="000000"/>
          <w:sz w:val="24"/>
          <w:szCs w:val="24"/>
          <w:rtl w:val="0"/>
        </w:rPr>
        <w:t xml:space="preserve"> from the goods and services in the original agreement.  </w:t>
      </w:r>
    </w:p>
    <w:p w:rsidR="00000000" w:rsidDel="00000000" w:rsidP="00000000" w:rsidRDefault="00000000" w:rsidRPr="00000000" w14:paraId="0000023F">
      <w:pPr>
        <w:numPr>
          <w:ilvl w:val="0"/>
          <w:numId w:val="21"/>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The amount of consideration expected for the additional goods or services must reflect the </w:t>
      </w:r>
      <w:r w:rsidDel="00000000" w:rsidR="00000000" w:rsidRPr="00000000">
        <w:rPr>
          <w:i w:val="1"/>
          <w:iCs w:val="1"/>
          <w:color w:val="000000"/>
          <w:sz w:val="24"/>
          <w:szCs w:val="24"/>
          <w:u w:val="single"/>
          <w:rtl w:val="0"/>
        </w:rPr>
        <w:t xml:space="preserve">stand-alone selling price</w:t>
      </w:r>
      <w:r w:rsidDel="00000000" w:rsidR="00000000" w:rsidRPr="00000000">
        <w:rPr>
          <w:color w:val="000000"/>
          <w:sz w:val="24"/>
          <w:szCs w:val="24"/>
          <w:rtl w:val="0"/>
        </w:rPr>
        <w:t xml:space="preserve"> of those goods or services.  </w:t>
      </w:r>
    </w:p>
    <w:p w:rsidR="00000000" w:rsidDel="00000000" w:rsidP="00000000" w:rsidRDefault="00000000" w:rsidRPr="00000000" w14:paraId="00000240">
      <w:pPr>
        <w:jc w:val="both"/>
        <w:rPr>
          <w:sz w:val="24"/>
          <w:szCs w:val="24"/>
        </w:rPr>
      </w:pPr>
      <w:r w:rsidDel="00000000" w:rsidR="00000000" w:rsidRPr="00000000">
        <w:rPr>
          <w:sz w:val="24"/>
          <w:szCs w:val="24"/>
          <w:rtl w:val="0"/>
        </w:rPr>
        <w:t xml:space="preserve">For these modifications, the original contract is not affected and the revenue recognized to date on the original contract is not adjusted. In this case, the revenue stemming from the original contract continues to be accounted for independent of the accounting of the new contract. </w:t>
      </w:r>
    </w:p>
    <w:p w:rsidR="00000000" w:rsidDel="00000000" w:rsidP="00000000" w:rsidRDefault="00000000" w:rsidRPr="00000000" w14:paraId="00000241">
      <w:pPr>
        <w:pStyle w:val="Subtitle"/>
        <w:rPr/>
      </w:pPr>
      <w:r w:rsidDel="00000000" w:rsidR="00000000" w:rsidRPr="00000000">
        <w:rPr>
          <w:rtl w:val="0"/>
        </w:rPr>
        <w:t xml:space="preserve">Example</w:t>
      </w:r>
    </w:p>
    <w:p w:rsidR="00000000" w:rsidDel="00000000" w:rsidP="00000000" w:rsidRDefault="00000000" w:rsidRPr="00000000" w14:paraId="00000242">
      <w:pPr>
        <w:spacing w:after="0" w:lineRule="auto"/>
        <w:jc w:val="both"/>
        <w:rPr>
          <w:sz w:val="24"/>
          <w:szCs w:val="24"/>
          <w:u w:val="single"/>
        </w:rPr>
      </w:pPr>
      <w:r w:rsidDel="00000000" w:rsidR="00000000" w:rsidRPr="00000000">
        <w:rPr>
          <w:sz w:val="24"/>
          <w:szCs w:val="24"/>
          <w:u w:val="single"/>
          <w:rtl w:val="0"/>
        </w:rPr>
        <w:t xml:space="preserve">Background:</w:t>
      </w:r>
    </w:p>
    <w:p w:rsidR="00000000" w:rsidDel="00000000" w:rsidP="00000000" w:rsidRDefault="00000000" w:rsidRPr="00000000" w14:paraId="00000243">
      <w:pPr>
        <w:spacing w:after="0" w:lineRule="auto"/>
        <w:jc w:val="both"/>
        <w:rPr>
          <w:sz w:val="24"/>
          <w:szCs w:val="24"/>
        </w:rPr>
      </w:pPr>
      <w:r w:rsidDel="00000000" w:rsidR="00000000" w:rsidRPr="00000000">
        <w:rPr>
          <w:sz w:val="24"/>
          <w:szCs w:val="24"/>
          <w:rtl w:val="0"/>
        </w:rPr>
        <w:t xml:space="preserve">Original contract: </w:t>
      </w:r>
    </w:p>
    <w:p w:rsidR="00000000" w:rsidDel="00000000" w:rsidP="00000000" w:rsidRDefault="00000000" w:rsidRPr="00000000" w14:paraId="00000244">
      <w:pPr>
        <w:spacing w:after="0" w:lineRule="auto"/>
        <w:jc w:val="both"/>
        <w:rPr>
          <w:sz w:val="24"/>
          <w:szCs w:val="24"/>
        </w:rPr>
      </w:pPr>
      <w:r w:rsidDel="00000000" w:rsidR="00000000" w:rsidRPr="00000000">
        <w:rPr>
          <w:sz w:val="24"/>
          <w:szCs w:val="24"/>
          <w:rtl w:val="0"/>
        </w:rPr>
        <w:t xml:space="preserve">Sale of 120 products </w:t>
      </w:r>
    </w:p>
    <w:p w:rsidR="00000000" w:rsidDel="00000000" w:rsidP="00000000" w:rsidRDefault="00000000" w:rsidRPr="00000000" w14:paraId="00000245">
      <w:pPr>
        <w:spacing w:after="0" w:lineRule="auto"/>
        <w:jc w:val="both"/>
        <w:rPr>
          <w:sz w:val="24"/>
          <w:szCs w:val="24"/>
        </w:rPr>
      </w:pPr>
      <w:r w:rsidDel="00000000" w:rsidR="00000000" w:rsidRPr="00000000">
        <w:rPr>
          <w:sz w:val="24"/>
          <w:szCs w:val="24"/>
          <w:rtl w:val="0"/>
        </w:rPr>
        <w:t xml:space="preserve">Unit price: 100 €</w:t>
      </w:r>
    </w:p>
    <w:p w:rsidR="00000000" w:rsidDel="00000000" w:rsidP="00000000" w:rsidRDefault="00000000" w:rsidRPr="00000000" w14:paraId="00000246">
      <w:pPr>
        <w:spacing w:after="0" w:lineRule="auto"/>
        <w:jc w:val="both"/>
        <w:rPr>
          <w:sz w:val="24"/>
          <w:szCs w:val="24"/>
        </w:rPr>
      </w:pPr>
      <w:r w:rsidDel="00000000" w:rsidR="00000000" w:rsidRPr="00000000">
        <w:rPr>
          <w:sz w:val="24"/>
          <w:szCs w:val="24"/>
          <w:rtl w:val="0"/>
        </w:rPr>
        <w:t xml:space="preserve">Transfer of the products over 6 months, at a point in time</w:t>
      </w:r>
    </w:p>
    <w:p w:rsidR="00000000" w:rsidDel="00000000" w:rsidP="00000000" w:rsidRDefault="00000000" w:rsidRPr="00000000" w14:paraId="00000247">
      <w:pPr>
        <w:spacing w:after="0" w:lineRule="auto"/>
        <w:jc w:val="both"/>
        <w:rPr>
          <w:sz w:val="24"/>
          <w:szCs w:val="24"/>
        </w:rPr>
      </w:pPr>
      <w:r w:rsidDel="00000000" w:rsidR="00000000" w:rsidRPr="00000000">
        <w:rPr>
          <w:rtl w:val="0"/>
        </w:rPr>
      </w:r>
    </w:p>
    <w:p w:rsidR="00000000" w:rsidDel="00000000" w:rsidP="00000000" w:rsidRDefault="00000000" w:rsidRPr="00000000" w14:paraId="00000248">
      <w:pPr>
        <w:spacing w:after="0" w:lineRule="auto"/>
        <w:jc w:val="both"/>
        <w:rPr>
          <w:sz w:val="24"/>
          <w:szCs w:val="24"/>
        </w:rPr>
      </w:pPr>
      <w:r w:rsidDel="00000000" w:rsidR="00000000" w:rsidRPr="00000000">
        <w:rPr>
          <w:sz w:val="24"/>
          <w:szCs w:val="24"/>
          <w:rtl w:val="0"/>
        </w:rPr>
        <w:t xml:space="preserve">Contract modification:</w:t>
      </w:r>
    </w:p>
    <w:p w:rsidR="00000000" w:rsidDel="00000000" w:rsidP="00000000" w:rsidRDefault="00000000" w:rsidRPr="00000000" w14:paraId="00000249">
      <w:pPr>
        <w:spacing w:after="0" w:lineRule="auto"/>
        <w:jc w:val="both"/>
        <w:rPr>
          <w:sz w:val="24"/>
          <w:szCs w:val="24"/>
        </w:rPr>
      </w:pPr>
      <w:r w:rsidDel="00000000" w:rsidR="00000000" w:rsidRPr="00000000">
        <w:rPr>
          <w:sz w:val="24"/>
          <w:szCs w:val="24"/>
          <w:rtl w:val="0"/>
        </w:rPr>
        <w:t xml:space="preserve">Delivery of additional 30 products</w:t>
      </w:r>
    </w:p>
    <w:p w:rsidR="00000000" w:rsidDel="00000000" w:rsidP="00000000" w:rsidRDefault="00000000" w:rsidRPr="00000000" w14:paraId="0000024A">
      <w:pPr>
        <w:spacing w:after="0" w:lineRule="auto"/>
        <w:jc w:val="both"/>
        <w:rPr>
          <w:sz w:val="24"/>
          <w:szCs w:val="24"/>
        </w:rPr>
      </w:pPr>
      <w:r w:rsidDel="00000000" w:rsidR="00000000" w:rsidRPr="00000000">
        <w:rPr>
          <w:sz w:val="24"/>
          <w:szCs w:val="24"/>
          <w:rtl w:val="0"/>
        </w:rPr>
        <w:t xml:space="preserve">Unit price: 90 €</w:t>
      </w:r>
    </w:p>
    <w:p w:rsidR="00000000" w:rsidDel="00000000" w:rsidP="00000000" w:rsidRDefault="00000000" w:rsidRPr="00000000" w14:paraId="0000024B">
      <w:pPr>
        <w:spacing w:after="0" w:lineRule="auto"/>
        <w:jc w:val="both"/>
        <w:rPr>
          <w:sz w:val="24"/>
          <w:szCs w:val="24"/>
        </w:rPr>
      </w:pPr>
      <w:r w:rsidDel="00000000" w:rsidR="00000000" w:rsidRPr="00000000">
        <w:rPr>
          <w:sz w:val="24"/>
          <w:szCs w:val="24"/>
          <w:rtl w:val="0"/>
        </w:rPr>
        <w:t xml:space="preserve">Additional products are similar to the products of the original contract.</w:t>
      </w:r>
    </w:p>
    <w:p w:rsidR="00000000" w:rsidDel="00000000" w:rsidP="00000000" w:rsidRDefault="00000000" w:rsidRPr="00000000" w14:paraId="0000024C">
      <w:pPr>
        <w:spacing w:after="0" w:lineRule="auto"/>
        <w:jc w:val="both"/>
        <w:rPr>
          <w:sz w:val="24"/>
          <w:szCs w:val="24"/>
        </w:rPr>
      </w:pPr>
      <w:r w:rsidDel="00000000" w:rsidR="00000000" w:rsidRPr="00000000">
        <w:rPr>
          <w:rtl w:val="0"/>
        </w:rPr>
      </w:r>
    </w:p>
    <w:p w:rsidR="00000000" w:rsidDel="00000000" w:rsidP="00000000" w:rsidRDefault="00000000" w:rsidRPr="00000000" w14:paraId="0000024D">
      <w:pPr>
        <w:spacing w:after="0" w:lineRule="auto"/>
        <w:jc w:val="both"/>
        <w:rPr>
          <w:sz w:val="24"/>
          <w:szCs w:val="24"/>
        </w:rPr>
      </w:pPr>
      <w:r w:rsidDel="00000000" w:rsidR="00000000" w:rsidRPr="00000000">
        <w:rPr>
          <w:sz w:val="24"/>
          <w:szCs w:val="24"/>
          <w:rtl w:val="0"/>
        </w:rPr>
        <w:t xml:space="preserve">Additional products are distinct and the pricing for additional products reflects their stand-alone selling price </w:t>
      </w:r>
    </w:p>
    <w:p w:rsidR="00000000" w:rsidDel="00000000" w:rsidP="00000000" w:rsidRDefault="00000000" w:rsidRPr="00000000" w14:paraId="0000024E">
      <w:pPr>
        <w:spacing w:after="0" w:lineRule="auto"/>
        <w:jc w:val="both"/>
        <w:rPr>
          <w:sz w:val="24"/>
          <w:szCs w:val="24"/>
        </w:rPr>
      </w:pPr>
      <w:r w:rsidDel="00000000" w:rsidR="00000000" w:rsidRPr="00000000">
        <w:rPr>
          <w:rtl w:val="0"/>
        </w:rPr>
      </w:r>
    </w:p>
    <w:p w:rsidR="00000000" w:rsidDel="00000000" w:rsidP="00000000" w:rsidRDefault="00000000" w:rsidRPr="00000000" w14:paraId="0000024F">
      <w:pPr>
        <w:spacing w:after="0" w:lineRule="auto"/>
        <w:jc w:val="both"/>
        <w:rPr>
          <w:sz w:val="24"/>
          <w:szCs w:val="24"/>
          <w:u w:val="single"/>
        </w:rPr>
      </w:pPr>
      <w:r w:rsidDel="00000000" w:rsidR="00000000" w:rsidRPr="00000000">
        <w:rPr>
          <w:sz w:val="24"/>
          <w:szCs w:val="24"/>
          <w:u w:val="single"/>
          <w:rtl w:val="0"/>
        </w:rPr>
        <w:t xml:space="preserve">Conclusion:</w:t>
      </w:r>
    </w:p>
    <w:p w:rsidR="00000000" w:rsidDel="00000000" w:rsidP="00000000" w:rsidRDefault="00000000" w:rsidRPr="00000000" w14:paraId="00000250">
      <w:pPr>
        <w:jc w:val="both"/>
        <w:rPr>
          <w:sz w:val="24"/>
          <w:szCs w:val="24"/>
        </w:rPr>
      </w:pPr>
      <w:r w:rsidDel="00000000" w:rsidR="00000000" w:rsidRPr="00000000">
        <w:rPr>
          <w:sz w:val="24"/>
          <w:szCs w:val="24"/>
          <w:rtl w:val="0"/>
        </w:rPr>
        <w:t xml:space="preserve">Revenue per product delivered under original contract measured based on unit price of 100€. Revenue per product delivered under new contract measured based on unit price of 90 €.</w:t>
      </w:r>
    </w:p>
    <w:p w:rsidR="00000000" w:rsidDel="00000000" w:rsidP="00000000" w:rsidRDefault="00000000" w:rsidRPr="00000000" w14:paraId="00000251">
      <w:pPr>
        <w:jc w:val="both"/>
        <w:rPr>
          <w:sz w:val="24"/>
          <w:szCs w:val="24"/>
        </w:rPr>
      </w:pPr>
      <w:r w:rsidDel="00000000" w:rsidR="00000000" w:rsidRPr="00000000">
        <w:rPr>
          <w:rtl w:val="0"/>
        </w:rPr>
      </w:r>
    </w:p>
    <w:p w:rsidR="00000000" w:rsidDel="00000000" w:rsidP="00000000" w:rsidRDefault="00000000" w:rsidRPr="00000000" w14:paraId="00000252">
      <w:pPr>
        <w:pStyle w:val="Heading3"/>
        <w:numPr>
          <w:ilvl w:val="0"/>
          <w:numId w:val="35"/>
        </w:numPr>
        <w:ind w:left="426" w:hanging="360"/>
        <w:rPr/>
      </w:pPr>
      <w:bookmarkStart w:colFirst="0" w:colLast="0" w:name="_heading=h.9g9nzuho4vn7" w:id="32"/>
      <w:bookmarkEnd w:id="32"/>
      <w:r w:rsidDel="00000000" w:rsidR="00000000" w:rsidRPr="00000000">
        <w:rPr>
          <w:rtl w:val="0"/>
        </w:rPr>
        <w:t xml:space="preserve">Contract modification is not a separate contract and goods/services are distinct</w:t>
      </w:r>
    </w:p>
    <w:p w:rsidR="00000000" w:rsidDel="00000000" w:rsidP="00000000" w:rsidRDefault="00000000" w:rsidRPr="00000000" w14:paraId="00000253">
      <w:pPr>
        <w:jc w:val="both"/>
        <w:rPr>
          <w:sz w:val="24"/>
          <w:szCs w:val="24"/>
        </w:rPr>
      </w:pPr>
      <w:r w:rsidDel="00000000" w:rsidR="00000000" w:rsidRPr="00000000">
        <w:rPr>
          <w:sz w:val="24"/>
          <w:szCs w:val="24"/>
          <w:rtl w:val="0"/>
        </w:rPr>
        <w:t xml:space="preserve">In this case, the amount of consideration expected for the additional goods or services does not reflect the stand-alone selling price of those goods or services. After the contract modification, if the remaining goods and services are distinct from the goods or services transferred on, or before, the contract modification, the entity accounts for the modification as if it were a termination of the old contract and the creation of a new contract.  </w:t>
      </w:r>
    </w:p>
    <w:p w:rsidR="00000000" w:rsidDel="00000000" w:rsidP="00000000" w:rsidRDefault="00000000" w:rsidRPr="00000000" w14:paraId="00000254">
      <w:pPr>
        <w:jc w:val="both"/>
        <w:rPr>
          <w:sz w:val="24"/>
          <w:szCs w:val="24"/>
        </w:rPr>
      </w:pPr>
      <w:r w:rsidDel="00000000" w:rsidR="00000000" w:rsidRPr="00000000">
        <w:rPr>
          <w:sz w:val="24"/>
          <w:szCs w:val="24"/>
          <w:rtl w:val="0"/>
        </w:rPr>
        <w:t xml:space="preserve">For these modifications, the revenue recognized to date on the original contract is not adjusted.  Instead, the remaining portion of the original contract and the modification are accounted for, together, on a prospective basis by allocating the remaining consideration to the remaining performance obligations of the original and the new contract.</w:t>
      </w:r>
    </w:p>
    <w:p w:rsidR="00000000" w:rsidDel="00000000" w:rsidP="00000000" w:rsidRDefault="00000000" w:rsidRPr="00000000" w14:paraId="00000255">
      <w:pPr>
        <w:pStyle w:val="Subtitle"/>
        <w:rPr/>
      </w:pPr>
      <w:r w:rsidDel="00000000" w:rsidR="00000000" w:rsidRPr="00000000">
        <w:rPr>
          <w:rtl w:val="0"/>
        </w:rPr>
        <w:t xml:space="preserve">Example</w:t>
      </w:r>
    </w:p>
    <w:tbl>
      <w:tblPr>
        <w:tblStyle w:val="Table18"/>
        <w:tblW w:w="938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A0"/>
      </w:tblPr>
      <w:tblGrid>
        <w:gridCol w:w="2889"/>
        <w:gridCol w:w="3204"/>
        <w:gridCol w:w="3293"/>
        <w:tblGridChange w:id="0">
          <w:tblGrid>
            <w:gridCol w:w="2889"/>
            <w:gridCol w:w="3204"/>
            <w:gridCol w:w="3293"/>
          </w:tblGrid>
        </w:tblGridChange>
      </w:tblGrid>
      <w:tr>
        <w:trPr>
          <w:cantSplit w:val="0"/>
          <w:tblHeader w:val="0"/>
        </w:trPr>
        <w:tc>
          <w:tcPr/>
          <w:p w:rsidR="00000000" w:rsidDel="00000000" w:rsidP="00000000" w:rsidRDefault="00000000" w:rsidRPr="00000000" w14:paraId="00000256">
            <w:pPr>
              <w:ind w:firstLine="720"/>
              <w:jc w:val="both"/>
              <w:rPr>
                <w:sz w:val="24"/>
                <w:szCs w:val="24"/>
                <w:u w:val="single"/>
              </w:rPr>
            </w:pPr>
            <w:r w:rsidDel="00000000" w:rsidR="00000000" w:rsidRPr="00000000">
              <w:rPr>
                <w:rtl w:val="0"/>
              </w:rPr>
            </w:r>
          </w:p>
        </w:tc>
        <w:tc>
          <w:tcPr>
            <w:vAlign w:val="center"/>
          </w:tcPr>
          <w:p w:rsidR="00000000" w:rsidDel="00000000" w:rsidP="00000000" w:rsidRDefault="00000000" w:rsidRPr="00000000" w14:paraId="00000257">
            <w:pPr>
              <w:jc w:val="right"/>
              <w:rPr>
                <w:sz w:val="24"/>
                <w:szCs w:val="24"/>
              </w:rPr>
            </w:pPr>
            <w:r w:rsidDel="00000000" w:rsidR="00000000" w:rsidRPr="00000000">
              <w:rPr>
                <w:color w:val="000000"/>
                <w:sz w:val="24"/>
                <w:szCs w:val="24"/>
                <w:rtl w:val="0"/>
              </w:rPr>
              <w:t xml:space="preserve">Original contract</w:t>
            </w:r>
            <w:r w:rsidDel="00000000" w:rsidR="00000000" w:rsidRPr="00000000">
              <w:rPr>
                <w:rtl w:val="0"/>
              </w:rPr>
            </w:r>
          </w:p>
        </w:tc>
        <w:tc>
          <w:tcPr>
            <w:vAlign w:val="center"/>
          </w:tcPr>
          <w:p w:rsidR="00000000" w:rsidDel="00000000" w:rsidP="00000000" w:rsidRDefault="00000000" w:rsidRPr="00000000" w14:paraId="00000258">
            <w:pPr>
              <w:jc w:val="right"/>
              <w:rPr>
                <w:sz w:val="24"/>
                <w:szCs w:val="24"/>
              </w:rPr>
            </w:pPr>
            <w:r w:rsidDel="00000000" w:rsidR="00000000" w:rsidRPr="00000000">
              <w:rPr>
                <w:color w:val="000000"/>
                <w:sz w:val="24"/>
                <w:szCs w:val="24"/>
                <w:rtl w:val="0"/>
              </w:rPr>
              <w:t xml:space="preserve">Additional contract</w:t>
            </w:r>
            <w:r w:rsidDel="00000000" w:rsidR="00000000" w:rsidRPr="00000000">
              <w:rPr>
                <w:rtl w:val="0"/>
              </w:rPr>
            </w:r>
          </w:p>
        </w:tc>
      </w:tr>
      <w:tr>
        <w:trPr>
          <w:cantSplit w:val="0"/>
          <w:tblHeader w:val="0"/>
        </w:trPr>
        <w:tc>
          <w:tcPr/>
          <w:p w:rsidR="00000000" w:rsidDel="00000000" w:rsidP="00000000" w:rsidRDefault="00000000" w:rsidRPr="00000000" w14:paraId="00000259">
            <w:pPr>
              <w:jc w:val="both"/>
              <w:rPr>
                <w:sz w:val="24"/>
                <w:szCs w:val="24"/>
              </w:rPr>
            </w:pPr>
            <w:r w:rsidDel="00000000" w:rsidR="00000000" w:rsidRPr="00000000">
              <w:rPr>
                <w:sz w:val="24"/>
                <w:szCs w:val="24"/>
                <w:rtl w:val="0"/>
              </w:rPr>
              <w:t xml:space="preserve">Quantity</w:t>
            </w:r>
          </w:p>
        </w:tc>
        <w:tc>
          <w:tcPr>
            <w:vAlign w:val="center"/>
          </w:tcPr>
          <w:p w:rsidR="00000000" w:rsidDel="00000000" w:rsidP="00000000" w:rsidRDefault="00000000" w:rsidRPr="00000000" w14:paraId="0000025A">
            <w:pPr>
              <w:jc w:val="right"/>
              <w:rPr>
                <w:sz w:val="24"/>
                <w:szCs w:val="24"/>
              </w:rPr>
            </w:pPr>
            <w:r w:rsidDel="00000000" w:rsidR="00000000" w:rsidRPr="00000000">
              <w:rPr>
                <w:sz w:val="24"/>
                <w:szCs w:val="24"/>
                <w:rtl w:val="0"/>
              </w:rPr>
              <w:t xml:space="preserve">120</w:t>
            </w:r>
          </w:p>
        </w:tc>
        <w:tc>
          <w:tcPr>
            <w:vAlign w:val="center"/>
          </w:tcPr>
          <w:p w:rsidR="00000000" w:rsidDel="00000000" w:rsidP="00000000" w:rsidRDefault="00000000" w:rsidRPr="00000000" w14:paraId="0000025B">
            <w:pPr>
              <w:jc w:val="right"/>
              <w:rPr>
                <w:sz w:val="24"/>
                <w:szCs w:val="24"/>
              </w:rPr>
            </w:pPr>
            <w:r w:rsidDel="00000000" w:rsidR="00000000" w:rsidRPr="00000000">
              <w:rPr>
                <w:sz w:val="24"/>
                <w:szCs w:val="24"/>
                <w:rtl w:val="0"/>
              </w:rPr>
              <w:t xml:space="preserve">30</w:t>
            </w:r>
          </w:p>
        </w:tc>
      </w:tr>
      <w:tr>
        <w:trPr>
          <w:cantSplit w:val="0"/>
          <w:tblHeader w:val="0"/>
        </w:trPr>
        <w:tc>
          <w:tcPr/>
          <w:p w:rsidR="00000000" w:rsidDel="00000000" w:rsidP="00000000" w:rsidRDefault="00000000" w:rsidRPr="00000000" w14:paraId="0000025C">
            <w:pPr>
              <w:jc w:val="both"/>
              <w:rPr>
                <w:sz w:val="24"/>
                <w:szCs w:val="24"/>
              </w:rPr>
            </w:pPr>
            <w:r w:rsidDel="00000000" w:rsidR="00000000" w:rsidRPr="00000000">
              <w:rPr>
                <w:sz w:val="24"/>
                <w:szCs w:val="24"/>
                <w:rtl w:val="0"/>
              </w:rPr>
              <w:t xml:space="preserve">Unit price (€)</w:t>
            </w:r>
          </w:p>
        </w:tc>
        <w:tc>
          <w:tcPr>
            <w:vAlign w:val="center"/>
          </w:tcPr>
          <w:p w:rsidR="00000000" w:rsidDel="00000000" w:rsidP="00000000" w:rsidRDefault="00000000" w:rsidRPr="00000000" w14:paraId="0000025D">
            <w:pPr>
              <w:jc w:val="right"/>
              <w:rPr>
                <w:sz w:val="24"/>
                <w:szCs w:val="24"/>
              </w:rPr>
            </w:pPr>
            <w:r w:rsidDel="00000000" w:rsidR="00000000" w:rsidRPr="00000000">
              <w:rPr>
                <w:sz w:val="24"/>
                <w:szCs w:val="24"/>
                <w:rtl w:val="0"/>
              </w:rPr>
              <w:t xml:space="preserve">100</w:t>
            </w:r>
          </w:p>
        </w:tc>
        <w:tc>
          <w:tcPr>
            <w:vAlign w:val="center"/>
          </w:tcPr>
          <w:p w:rsidR="00000000" w:rsidDel="00000000" w:rsidP="00000000" w:rsidRDefault="00000000" w:rsidRPr="00000000" w14:paraId="0000025E">
            <w:pPr>
              <w:jc w:val="right"/>
              <w:rPr>
                <w:sz w:val="24"/>
                <w:szCs w:val="24"/>
              </w:rPr>
            </w:pPr>
            <w:r w:rsidDel="00000000" w:rsidR="00000000" w:rsidRPr="00000000">
              <w:rPr>
                <w:sz w:val="24"/>
                <w:szCs w:val="24"/>
                <w:rtl w:val="0"/>
              </w:rPr>
              <w:t xml:space="preserve">50</w:t>
            </w:r>
          </w:p>
        </w:tc>
      </w:tr>
    </w:tbl>
    <w:p w:rsidR="00000000" w:rsidDel="00000000" w:rsidP="00000000" w:rsidRDefault="00000000" w:rsidRPr="00000000" w14:paraId="0000025F">
      <w:pPr>
        <w:jc w:val="both"/>
        <w:rPr>
          <w:color w:val="ff0000"/>
          <w:sz w:val="24"/>
          <w:szCs w:val="24"/>
          <w:u w:val="single"/>
        </w:rPr>
      </w:pPr>
      <w:r w:rsidDel="00000000" w:rsidR="00000000" w:rsidRPr="00000000">
        <w:rPr>
          <w:rtl w:val="0"/>
        </w:rPr>
      </w:r>
    </w:p>
    <w:p w:rsidR="00000000" w:rsidDel="00000000" w:rsidP="00000000" w:rsidRDefault="00000000" w:rsidRPr="00000000" w14:paraId="00000260">
      <w:pPr>
        <w:jc w:val="both"/>
        <w:rPr>
          <w:sz w:val="24"/>
          <w:szCs w:val="24"/>
        </w:rPr>
      </w:pPr>
      <w:r w:rsidDel="00000000" w:rsidR="00000000" w:rsidRPr="00000000">
        <w:rPr>
          <w:sz w:val="24"/>
          <w:szCs w:val="24"/>
          <w:rtl w:val="0"/>
        </w:rPr>
        <w:t xml:space="preserve">The customer discovers that the initial 60 products already transferred to the customer under the original contract contained minor defects that were unique to those delivered products.  The entity promises a partial credit of 15 € per product to compensate the customer for the poor quality (total credit : 60 x 15 € = 900 €).</w:t>
      </w:r>
    </w:p>
    <w:p w:rsidR="00000000" w:rsidDel="00000000" w:rsidP="00000000" w:rsidRDefault="00000000" w:rsidRPr="00000000" w14:paraId="00000261">
      <w:pPr>
        <w:jc w:val="both"/>
        <w:rPr>
          <w:sz w:val="24"/>
          <w:szCs w:val="24"/>
        </w:rPr>
      </w:pPr>
      <w:r w:rsidDel="00000000" w:rsidR="00000000" w:rsidRPr="00000000">
        <w:rPr>
          <w:sz w:val="24"/>
          <w:szCs w:val="24"/>
          <w:rtl w:val="0"/>
        </w:rPr>
        <w:t xml:space="preserve">The credit is incorporated into the price that the entity will charge for the additional 30 products 🡪 the contract modification specifies that the price of the additional 30 products is 1 500 € (or 50 € per product), calculated as follows : (30 x 80 €) – (60 x 15 €). </w:t>
      </w:r>
    </w:p>
    <w:p w:rsidR="00000000" w:rsidDel="00000000" w:rsidP="00000000" w:rsidRDefault="00000000" w:rsidRPr="00000000" w14:paraId="00000262">
      <w:pPr>
        <w:jc w:val="both"/>
        <w:rPr>
          <w:sz w:val="24"/>
          <w:szCs w:val="24"/>
        </w:rPr>
      </w:pPr>
      <w:r w:rsidDel="00000000" w:rsidR="00000000" w:rsidRPr="00000000">
        <w:rPr>
          <w:sz w:val="24"/>
          <w:szCs w:val="24"/>
          <w:rtl w:val="0"/>
        </w:rPr>
        <w:t xml:space="preserve">The 80 € is not the stand alone selling price of the goods.</w:t>
      </w:r>
    </w:p>
    <w:p w:rsidR="00000000" w:rsidDel="00000000" w:rsidP="00000000" w:rsidRDefault="00000000" w:rsidRPr="00000000" w14:paraId="00000263">
      <w:pPr>
        <w:spacing w:line="240" w:lineRule="auto"/>
        <w:jc w:val="both"/>
        <w:rPr>
          <w:sz w:val="24"/>
          <w:szCs w:val="24"/>
        </w:rPr>
      </w:pPr>
      <w:r w:rsidDel="00000000" w:rsidR="00000000" w:rsidRPr="00000000">
        <w:rPr>
          <w:sz w:val="24"/>
          <w:szCs w:val="24"/>
          <w:rtl w:val="0"/>
        </w:rPr>
        <w:t xml:space="preserve">Accounting treatment:</w:t>
      </w:r>
    </w:p>
    <w:p w:rsidR="00000000" w:rsidDel="00000000" w:rsidP="00000000" w:rsidRDefault="00000000" w:rsidRPr="00000000" w14:paraId="00000264">
      <w:pPr>
        <w:numPr>
          <w:ilvl w:val="0"/>
          <w:numId w:val="16"/>
        </w:numPr>
        <w:spacing w:line="240" w:lineRule="auto"/>
        <w:ind w:left="720" w:hanging="360"/>
        <w:jc w:val="both"/>
        <w:rPr>
          <w:sz w:val="24"/>
          <w:szCs w:val="24"/>
        </w:rPr>
      </w:pPr>
      <w:r w:rsidDel="00000000" w:rsidR="00000000" w:rsidRPr="00000000">
        <w:rPr>
          <w:sz w:val="24"/>
          <w:szCs w:val="24"/>
          <w:rtl w:val="0"/>
        </w:rPr>
        <w:t xml:space="preserve">At modification time: reduction of revenue by 900 € for the initial 60 products previously transferred</w:t>
      </w:r>
    </w:p>
    <w:p w:rsidR="00000000" w:rsidDel="00000000" w:rsidP="00000000" w:rsidRDefault="00000000" w:rsidRPr="00000000" w14:paraId="00000265">
      <w:pPr>
        <w:numPr>
          <w:ilvl w:val="0"/>
          <w:numId w:val="16"/>
        </w:numPr>
        <w:spacing w:line="240" w:lineRule="auto"/>
        <w:ind w:left="720" w:hanging="360"/>
        <w:jc w:val="both"/>
        <w:rPr>
          <w:sz w:val="24"/>
          <w:szCs w:val="24"/>
        </w:rPr>
      </w:pPr>
      <w:r w:rsidDel="00000000" w:rsidR="00000000" w:rsidRPr="00000000">
        <w:rPr>
          <w:sz w:val="24"/>
          <w:szCs w:val="24"/>
          <w:rtl w:val="0"/>
        </w:rPr>
        <w:t xml:space="preserve">Additional products are distinct 🡪 Termination of the existing contract and creation of a new contract</w:t>
      </w:r>
    </w:p>
    <w:p w:rsidR="00000000" w:rsidDel="00000000" w:rsidP="00000000" w:rsidRDefault="00000000" w:rsidRPr="00000000" w14:paraId="00000266">
      <w:pPr>
        <w:jc w:val="both"/>
        <w:rPr>
          <w:sz w:val="24"/>
          <w:szCs w:val="24"/>
        </w:rPr>
      </w:pPr>
      <w:r w:rsidDel="00000000" w:rsidR="00000000" w:rsidRPr="00000000">
        <w:rPr>
          <w:sz w:val="24"/>
          <w:szCs w:val="24"/>
          <w:rtl w:val="0"/>
        </w:rPr>
        <w:t xml:space="preserve">New unit price for remaining products to be delivered: </w:t>
      </w:r>
      <m:oMath>
        <m:r>
          <w:rPr>
            <w:rFonts w:ascii="Cambria Math" w:cs="Cambria Math" w:eastAsia="Cambria Math" w:hAnsi="Cambria Math"/>
            <w:sz w:val="24"/>
            <w:szCs w:val="24"/>
          </w:rPr>
          <m:t xml:space="preserve">93,33€ =</m:t>
        </m:r>
        <m:f>
          <m:fPr>
            <m:ctrlPr>
              <w:rPr>
                <w:rFonts w:ascii="Cambria Math" w:cs="Cambria Math" w:eastAsia="Cambria Math" w:hAnsi="Cambria Math"/>
                <w:sz w:val="24"/>
                <w:szCs w:val="24"/>
              </w:rPr>
            </m:ctrlPr>
          </m:fPr>
          <m:num>
            <m:r>
              <w:rPr>
                <w:rFonts w:ascii="Cambria Math" w:cs="Cambria Math" w:eastAsia="Cambria Math" w:hAnsi="Cambria Math"/>
                <w:sz w:val="24"/>
                <w:szCs w:val="24"/>
              </w:rPr>
              <m:t xml:space="preserve">60 x 100 €+30 x 80 €</m:t>
            </m:r>
          </m:num>
          <m:den>
            <m:r>
              <w:rPr>
                <w:rFonts w:ascii="Cambria Math" w:cs="Cambria Math" w:eastAsia="Cambria Math" w:hAnsi="Cambria Math"/>
                <w:sz w:val="24"/>
                <w:szCs w:val="24"/>
              </w:rPr>
              <m:t xml:space="preserve">90</m:t>
            </m:r>
          </m:den>
        </m:f>
      </m:oMath>
      <w:r w:rsidDel="00000000" w:rsidR="00000000" w:rsidRPr="00000000">
        <w:rPr>
          <w:rtl w:val="0"/>
        </w:rPr>
      </w:r>
    </w:p>
    <w:p w:rsidR="00000000" w:rsidDel="00000000" w:rsidP="00000000" w:rsidRDefault="00000000" w:rsidRPr="00000000" w14:paraId="00000267">
      <w:pPr>
        <w:jc w:val="both"/>
        <w:rPr>
          <w:color w:val="ff0000"/>
          <w:sz w:val="24"/>
          <w:szCs w:val="24"/>
          <w:u w:val="single"/>
        </w:rPr>
      </w:pPr>
      <w:r w:rsidDel="00000000" w:rsidR="00000000" w:rsidRPr="00000000">
        <w:rPr>
          <w:rtl w:val="0"/>
        </w:rPr>
      </w:r>
    </w:p>
    <w:p w:rsidR="00000000" w:rsidDel="00000000" w:rsidP="00000000" w:rsidRDefault="00000000" w:rsidRPr="00000000" w14:paraId="00000268">
      <w:pPr>
        <w:pStyle w:val="Heading3"/>
        <w:numPr>
          <w:ilvl w:val="0"/>
          <w:numId w:val="35"/>
        </w:numPr>
        <w:ind w:left="426" w:hanging="360"/>
        <w:rPr/>
      </w:pPr>
      <w:bookmarkStart w:colFirst="0" w:colLast="0" w:name="_heading=h.m7kohtquzmqu" w:id="33"/>
      <w:bookmarkEnd w:id="33"/>
      <w:r w:rsidDel="00000000" w:rsidR="00000000" w:rsidRPr="00000000">
        <w:rPr>
          <w:rtl w:val="0"/>
        </w:rPr>
        <w:t xml:space="preserve">Contract modification is not a separate contract and goods/services are not distinct</w:t>
      </w:r>
    </w:p>
    <w:p w:rsidR="00000000" w:rsidDel="00000000" w:rsidP="00000000" w:rsidRDefault="00000000" w:rsidRPr="00000000" w14:paraId="00000269">
      <w:pPr>
        <w:jc w:val="both"/>
        <w:rPr>
          <w:sz w:val="24"/>
          <w:szCs w:val="24"/>
        </w:rPr>
      </w:pPr>
      <w:r w:rsidDel="00000000" w:rsidR="00000000" w:rsidRPr="00000000">
        <w:rPr>
          <w:sz w:val="24"/>
          <w:szCs w:val="24"/>
          <w:rtl w:val="0"/>
        </w:rPr>
        <w:t xml:space="preserve">The remaining goods and services to be provided after the contract modification may not be distinct and, therefore, form part of a single performance obligation that is partially satisfied at the date of modification.  In this case, the entity accounts for the contract modification as if it were part of the original contract and the entity adjusts revenue previously recognized to reflect the effect that the contract modification has on the transaction price and the measure of progress (cumulative catch-up).</w:t>
      </w:r>
    </w:p>
    <w:p w:rsidR="00000000" w:rsidDel="00000000" w:rsidP="00000000" w:rsidRDefault="00000000" w:rsidRPr="00000000" w14:paraId="0000026A">
      <w:pPr>
        <w:jc w:val="both"/>
        <w:rPr>
          <w:sz w:val="24"/>
          <w:szCs w:val="24"/>
        </w:rPr>
      </w:pPr>
      <w:r w:rsidDel="00000000" w:rsidR="00000000" w:rsidRPr="00000000">
        <w:rPr>
          <w:rtl w:val="0"/>
        </w:rPr>
      </w:r>
    </w:p>
    <w:p w:rsidR="00000000" w:rsidDel="00000000" w:rsidP="00000000" w:rsidRDefault="00000000" w:rsidRPr="00000000" w14:paraId="0000026B">
      <w:pPr>
        <w:pStyle w:val="Subtitle"/>
        <w:rPr/>
      </w:pPr>
      <w:r w:rsidDel="00000000" w:rsidR="00000000" w:rsidRPr="00000000">
        <w:rPr>
          <w:rtl w:val="0"/>
        </w:rPr>
        <w:t xml:space="preserve">Example</w:t>
      </w:r>
    </w:p>
    <w:p w:rsidR="00000000" w:rsidDel="00000000" w:rsidP="00000000" w:rsidRDefault="00000000" w:rsidRPr="00000000" w14:paraId="0000026C">
      <w:pPr>
        <w:spacing w:after="0" w:lineRule="auto"/>
        <w:jc w:val="both"/>
        <w:rPr>
          <w:sz w:val="24"/>
          <w:szCs w:val="24"/>
          <w:u w:val="single"/>
        </w:rPr>
      </w:pPr>
      <w:r w:rsidDel="00000000" w:rsidR="00000000" w:rsidRPr="00000000">
        <w:rPr>
          <w:sz w:val="24"/>
          <w:szCs w:val="24"/>
          <w:u w:val="single"/>
          <w:rtl w:val="0"/>
        </w:rPr>
        <w:t xml:space="preserve">Background:</w:t>
      </w:r>
    </w:p>
    <w:p w:rsidR="00000000" w:rsidDel="00000000" w:rsidP="00000000" w:rsidRDefault="00000000" w:rsidRPr="00000000" w14:paraId="0000026D">
      <w:pPr>
        <w:jc w:val="both"/>
        <w:rPr>
          <w:sz w:val="24"/>
          <w:szCs w:val="24"/>
        </w:rPr>
      </w:pPr>
      <w:r w:rsidDel="00000000" w:rsidR="00000000" w:rsidRPr="00000000">
        <w:rPr>
          <w:sz w:val="24"/>
          <w:szCs w:val="24"/>
          <w:rtl w:val="0"/>
        </w:rPr>
        <w:t xml:space="preserve">We enter into a 2-year arrangement with a customer to construct a building for 300 K€ (= single performance obligation). Costs are estimated to be 200 K€.  By the end of the first year, we have satisfied 60% of our performance obligation and have recognized 180 K€ (60% of 300 K€) as revenue and 120 K€ (60% of 200 K€) as COGS. </w:t>
      </w:r>
    </w:p>
    <w:p w:rsidR="00000000" w:rsidDel="00000000" w:rsidP="00000000" w:rsidRDefault="00000000" w:rsidRPr="00000000" w14:paraId="0000026E">
      <w:pPr>
        <w:jc w:val="both"/>
        <w:rPr>
          <w:sz w:val="24"/>
          <w:szCs w:val="24"/>
        </w:rPr>
      </w:pPr>
      <w:r w:rsidDel="00000000" w:rsidR="00000000" w:rsidRPr="00000000">
        <w:rPr>
          <w:sz w:val="24"/>
          <w:szCs w:val="24"/>
          <w:rtl w:val="0"/>
        </w:rPr>
        <w:t xml:space="preserve">At the end of the first year, we agree to modify the original floor plan, which will increase the transaction price and expected cost by approximately 100 K€ and 40 K€, respectively.   As a consequence, the percentage of completion of the project is no longer 60% but only 50%.</w:t>
      </w:r>
    </w:p>
    <w:p w:rsidR="00000000" w:rsidDel="00000000" w:rsidP="00000000" w:rsidRDefault="00000000" w:rsidRPr="00000000" w14:paraId="0000026F">
      <w:pPr>
        <w:jc w:val="both"/>
        <w:rPr>
          <w:sz w:val="24"/>
          <w:szCs w:val="24"/>
        </w:rPr>
      </w:pPr>
      <w:r w:rsidDel="00000000" w:rsidR="00000000" w:rsidRPr="00000000">
        <w:rPr>
          <w:sz w:val="24"/>
          <w:szCs w:val="24"/>
          <w:rtl w:val="0"/>
        </w:rPr>
        <w:t xml:space="preserve">The modification does not create a separate performance obligation as the remaining goods or services to be provided are not distinct from the initial ones.  </w:t>
      </w:r>
    </w:p>
    <w:p w:rsidR="00000000" w:rsidDel="00000000" w:rsidP="00000000" w:rsidRDefault="00000000" w:rsidRPr="00000000" w14:paraId="00000270">
      <w:pPr>
        <w:spacing w:after="0" w:lineRule="auto"/>
        <w:jc w:val="both"/>
        <w:rPr>
          <w:sz w:val="24"/>
          <w:szCs w:val="24"/>
          <w:u w:val="single"/>
        </w:rPr>
      </w:pPr>
      <w:r w:rsidDel="00000000" w:rsidR="00000000" w:rsidRPr="00000000">
        <w:rPr>
          <w:sz w:val="24"/>
          <w:szCs w:val="24"/>
          <w:u w:val="single"/>
          <w:rtl w:val="0"/>
        </w:rPr>
        <w:t xml:space="preserve">Conclusion:</w:t>
      </w:r>
    </w:p>
    <w:p w:rsidR="00000000" w:rsidDel="00000000" w:rsidP="00000000" w:rsidRDefault="00000000" w:rsidRPr="00000000" w14:paraId="00000271">
      <w:pPr>
        <w:spacing w:after="0" w:lineRule="auto"/>
        <w:jc w:val="both"/>
        <w:rPr>
          <w:sz w:val="24"/>
          <w:szCs w:val="24"/>
        </w:rPr>
      </w:pPr>
      <w:r w:rsidDel="00000000" w:rsidR="00000000" w:rsidRPr="00000000">
        <w:rPr>
          <w:sz w:val="24"/>
          <w:szCs w:val="24"/>
          <w:rtl w:val="0"/>
        </w:rPr>
        <w:t xml:space="preserve">Cumulative catch-up adjustment: 20 K€ as revenue (and 0 K€ as COGS).</w:t>
      </w:r>
    </w:p>
    <w:p w:rsidR="00000000" w:rsidDel="00000000" w:rsidP="00000000" w:rsidRDefault="00000000" w:rsidRPr="00000000" w14:paraId="00000272">
      <w:pPr>
        <w:spacing w:after="0" w:lineRule="auto"/>
        <w:jc w:val="both"/>
        <w:rPr>
          <w:sz w:val="24"/>
          <w:szCs w:val="24"/>
        </w:rPr>
      </w:pPr>
      <w:r w:rsidDel="00000000" w:rsidR="00000000" w:rsidRPr="00000000">
        <w:rPr>
          <w:sz w:val="24"/>
          <w:szCs w:val="24"/>
          <w:rtl w:val="0"/>
        </w:rPr>
        <w:t xml:space="preserve">Calculation additional revenue to recognize: (400 K€ x 50%) – 180 K€ = 20 K€</w:t>
      </w:r>
    </w:p>
    <w:p w:rsidR="00000000" w:rsidDel="00000000" w:rsidP="00000000" w:rsidRDefault="00000000" w:rsidRPr="00000000" w14:paraId="00000273">
      <w:pPr>
        <w:spacing w:after="0" w:lineRule="auto"/>
        <w:jc w:val="both"/>
        <w:rPr>
          <w:sz w:val="24"/>
          <w:szCs w:val="24"/>
        </w:rPr>
      </w:pPr>
      <w:r w:rsidDel="00000000" w:rsidR="00000000" w:rsidRPr="00000000">
        <w:rPr>
          <w:sz w:val="24"/>
          <w:szCs w:val="24"/>
          <w:rtl w:val="0"/>
        </w:rPr>
        <w:t xml:space="preserve">Calculation additional COGS to recognize: (240 K€ x 50%) – 120 K€ = 0 K€</w:t>
      </w:r>
    </w:p>
    <w:p w:rsidR="00000000" w:rsidDel="00000000" w:rsidP="00000000" w:rsidRDefault="00000000" w:rsidRPr="00000000" w14:paraId="00000274">
      <w:pPr>
        <w:jc w:val="both"/>
        <w:rPr>
          <w:b w:val="1"/>
          <w:bCs w:val="1"/>
          <w:sz w:val="24"/>
          <w:szCs w:val="24"/>
          <w:u w:val="single"/>
        </w:rPr>
      </w:pPr>
      <w:r w:rsidDel="00000000" w:rsidR="00000000" w:rsidRPr="00000000">
        <w:rPr>
          <w:rtl w:val="0"/>
        </w:rPr>
      </w:r>
    </w:p>
    <w:p w:rsidR="00000000" w:rsidDel="00000000" w:rsidP="00000000" w:rsidRDefault="00000000" w:rsidRPr="00000000" w14:paraId="00000275">
      <w:pPr>
        <w:pStyle w:val="Heading2"/>
        <w:numPr>
          <w:ilvl w:val="0"/>
          <w:numId w:val="32"/>
        </w:numPr>
        <w:ind w:left="1440" w:hanging="360"/>
        <w:rPr/>
      </w:pPr>
      <w:bookmarkStart w:colFirst="0" w:colLast="0" w:name="_heading=h.y990qq24na2w" w:id="34"/>
      <w:bookmarkEnd w:id="34"/>
      <w:r w:rsidDel="00000000" w:rsidR="00000000" w:rsidRPr="00000000">
        <w:rPr>
          <w:rtl w:val="0"/>
        </w:rPr>
        <w:t xml:space="preserve">Customer options that provide a material right - vouchers</w:t>
      </w:r>
    </w:p>
    <w:p w:rsidR="00000000" w:rsidDel="00000000" w:rsidP="00000000" w:rsidRDefault="00000000" w:rsidRPr="00000000" w14:paraId="00000276">
      <w:pPr>
        <w:jc w:val="both"/>
        <w:rPr>
          <w:sz w:val="24"/>
          <w:szCs w:val="24"/>
        </w:rPr>
      </w:pPr>
      <w:r w:rsidDel="00000000" w:rsidR="00000000" w:rsidRPr="00000000">
        <w:rPr>
          <w:sz w:val="24"/>
          <w:szCs w:val="24"/>
          <w:rtl w:val="0"/>
        </w:rPr>
        <w:t xml:space="preserve">When an entity grants a customer the option to acquire additional goods or services, that option is only a separate performance obligation if it provides a material right to the customer.  The right is material if it results in a discount that the customer would not receive without entering into the contract.  A material right is a promise embedded in a current contract that should be accounted for as a separate performance obligation. In practice, economically, it can often be construed as a volume discount that takes into account volumes purchased by the customer during the initial term of the agreement. </w:t>
      </w:r>
    </w:p>
    <w:p w:rsidR="00000000" w:rsidDel="00000000" w:rsidP="00000000" w:rsidRDefault="00000000" w:rsidRPr="00000000" w14:paraId="00000277">
      <w:pPr>
        <w:pStyle w:val="Subtitle"/>
        <w:rPr/>
      </w:pPr>
      <w:r w:rsidDel="00000000" w:rsidR="00000000" w:rsidRPr="00000000">
        <w:rPr>
          <w:rtl w:val="0"/>
        </w:rPr>
        <w:t xml:space="preserve">Example</w:t>
      </w:r>
    </w:p>
    <w:p w:rsidR="00000000" w:rsidDel="00000000" w:rsidP="00000000" w:rsidRDefault="00000000" w:rsidRPr="00000000" w14:paraId="00000278">
      <w:pPr>
        <w:jc w:val="both"/>
        <w:rPr>
          <w:sz w:val="24"/>
          <w:szCs w:val="24"/>
        </w:rPr>
      </w:pPr>
      <w:r w:rsidDel="00000000" w:rsidR="00000000" w:rsidRPr="00000000">
        <w:rPr>
          <w:sz w:val="24"/>
          <w:szCs w:val="24"/>
          <w:rtl w:val="0"/>
        </w:rPr>
        <w:t xml:space="preserve">We sell products for a total of 100 €.  We give the customer a 40% discount voucher for any future purchases up to 100 € in the next 30 days.  Selling price of the products in the next 30 days to the public does not change from today’s price (no general discounts expected to be offered).</w:t>
      </w:r>
    </w:p>
    <w:p w:rsidR="00000000" w:rsidDel="00000000" w:rsidP="00000000" w:rsidRDefault="00000000" w:rsidRPr="00000000" w14:paraId="00000279">
      <w:pPr>
        <w:jc w:val="both"/>
        <w:rPr>
          <w:sz w:val="24"/>
          <w:szCs w:val="24"/>
        </w:rPr>
      </w:pPr>
      <w:r w:rsidDel="00000000" w:rsidR="00000000" w:rsidRPr="00000000">
        <w:rPr>
          <w:sz w:val="24"/>
          <w:szCs w:val="24"/>
          <w:rtl w:val="0"/>
        </w:rPr>
        <w:t xml:space="preserve">We estimate there is a 80% likelihood that the customer will redeem the voucher.  The average price of additional volumes purchased by customer is 50 €.</w:t>
      </w:r>
    </w:p>
    <w:p w:rsidR="00000000" w:rsidDel="00000000" w:rsidP="00000000" w:rsidRDefault="00000000" w:rsidRPr="00000000" w14:paraId="0000027A">
      <w:pPr>
        <w:jc w:val="both"/>
        <w:rPr>
          <w:sz w:val="24"/>
          <w:szCs w:val="24"/>
        </w:rPr>
      </w:pPr>
      <w:r w:rsidDel="00000000" w:rsidR="00000000" w:rsidRPr="00000000">
        <w:rPr>
          <w:sz w:val="24"/>
          <w:szCs w:val="24"/>
          <w:rtl w:val="0"/>
        </w:rPr>
        <w:t xml:space="preserve">The stand-alone selling price of the voucher is 16 € (= 50 € x 40% (discount) x 80% (probability voucher will be redeemed)).</w:t>
      </w:r>
    </w:p>
    <w:p w:rsidR="00000000" w:rsidDel="00000000" w:rsidP="00000000" w:rsidRDefault="00000000" w:rsidRPr="00000000" w14:paraId="0000027B">
      <w:pPr>
        <w:jc w:val="both"/>
        <w:rPr>
          <w:sz w:val="24"/>
          <w:szCs w:val="24"/>
        </w:rPr>
      </w:pPr>
      <w:r w:rsidDel="00000000" w:rsidR="00000000" w:rsidRPr="00000000">
        <w:rPr/>
        <w:drawing>
          <wp:inline distB="0" distT="0" distL="0" distR="0">
            <wp:extent cx="5629275" cy="1381125"/>
            <wp:effectExtent b="0" l="0" r="0" t="0"/>
            <wp:docPr id="2057"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5629275" cy="1381125"/>
                    </a:xfrm>
                    <a:prstGeom prst="rect"/>
                    <a:ln/>
                  </pic:spPr>
                </pic:pic>
              </a:graphicData>
            </a:graphic>
          </wp:inline>
        </w:drawing>
      </w:r>
      <w:r w:rsidDel="00000000" w:rsidR="00000000" w:rsidRPr="00000000">
        <w:rPr>
          <w:rtl w:val="0"/>
        </w:rPr>
      </w:r>
    </w:p>
    <w:p w:rsidR="00000000" w:rsidDel="00000000" w:rsidP="00000000" w:rsidRDefault="00000000" w:rsidRPr="00000000" w14:paraId="0000027C">
      <w:pPr>
        <w:pStyle w:val="Heading3"/>
        <w:rPr/>
      </w:pPr>
      <w:r w:rsidDel="00000000" w:rsidR="00000000" w:rsidRPr="00000000">
        <w:rPr>
          <w:rtl w:val="0"/>
        </w:rPr>
      </w:r>
    </w:p>
    <w:p w:rsidR="00000000" w:rsidDel="00000000" w:rsidP="00000000" w:rsidRDefault="00000000" w:rsidRPr="00000000" w14:paraId="0000027D">
      <w:pPr>
        <w:pStyle w:val="Heading3"/>
        <w:rPr/>
      </w:pPr>
      <w:bookmarkStart w:colFirst="0" w:colLast="0" w:name="_heading=h.mwtjhittytr7" w:id="35"/>
      <w:bookmarkEnd w:id="35"/>
      <w:r w:rsidDel="00000000" w:rsidR="00000000" w:rsidRPr="00000000">
        <w:rPr>
          <w:rtl w:val="0"/>
        </w:rPr>
        <w:t xml:space="preserve">Contract renewal rights granted to customer at a discount contingent on purchases under the existing contract</w:t>
      </w:r>
    </w:p>
    <w:p w:rsidR="00000000" w:rsidDel="00000000" w:rsidP="00000000" w:rsidRDefault="00000000" w:rsidRPr="00000000" w14:paraId="0000027E">
      <w:pPr>
        <w:jc w:val="both"/>
        <w:rPr>
          <w:sz w:val="24"/>
          <w:szCs w:val="24"/>
        </w:rPr>
      </w:pPr>
      <w:r w:rsidDel="00000000" w:rsidR="00000000" w:rsidRPr="00000000">
        <w:rPr>
          <w:sz w:val="24"/>
          <w:szCs w:val="24"/>
          <w:rtl w:val="0"/>
        </w:rPr>
        <w:t xml:space="preserve">In this specific case, Syensqo grants the customer a right to renew a contract, with discount for future volumes purchased under this renewed contract, based on purchases under the existing contract.  Such requires deferral of a portion of revenue from sales under the existing contract, as explained below. This future discount is accounted for as a customer option.</w:t>
      </w:r>
    </w:p>
    <w:p w:rsidR="00000000" w:rsidDel="00000000" w:rsidP="00000000" w:rsidRDefault="00000000" w:rsidRPr="00000000" w14:paraId="0000027F">
      <w:pPr>
        <w:jc w:val="both"/>
        <w:rPr>
          <w:sz w:val="24"/>
          <w:szCs w:val="24"/>
        </w:rPr>
      </w:pPr>
      <w:r w:rsidDel="00000000" w:rsidR="00000000" w:rsidRPr="00000000">
        <w:rPr>
          <w:sz w:val="24"/>
          <w:szCs w:val="24"/>
          <w:rtl w:val="0"/>
        </w:rPr>
        <w:t xml:space="preserve">Syensqo will need to evaluate whether the customer’s option to purchase goods or services in the future at a discount represents a material right (and is, therefore, accounted for as a performance obligation).  In making this evaluation, Syensqo would first evaluate whether the option exists independently of the existing contract. That is, would Syensqo offer the same pricing to a similar high volume customer independent of a prior contract with Syensqo? If yes, the volume discount is not a material right, as it is not incremental to the discount typically offered to a similar high-volume customer and therefore, is not a separate performance obligation. If Syensqo typically charges a higher price to a similar customer, such indicates that the volume discount is a material right to be accounted for separately.</w:t>
      </w:r>
    </w:p>
    <w:p w:rsidR="00000000" w:rsidDel="00000000" w:rsidP="00000000" w:rsidRDefault="00000000" w:rsidRPr="00000000" w14:paraId="00000280">
      <w:pPr>
        <w:jc w:val="both"/>
        <w:rPr>
          <w:sz w:val="24"/>
          <w:szCs w:val="24"/>
        </w:rPr>
      </w:pPr>
      <w:r w:rsidDel="00000000" w:rsidR="00000000" w:rsidRPr="00000000">
        <w:rPr>
          <w:sz w:val="24"/>
          <w:szCs w:val="24"/>
          <w:rtl w:val="0"/>
        </w:rPr>
        <w:t xml:space="preserve">If Syensqo determines that the volume discount promised is a material right for the customer, Syensqo will defer a portion of revenue recognized when goods are sold during the initial existing contract term.  Therefore, revenue recognition pattern is disconnected from cash flows received from the customer. </w:t>
      </w:r>
    </w:p>
    <w:p w:rsidR="00000000" w:rsidDel="00000000" w:rsidP="00000000" w:rsidRDefault="00000000" w:rsidRPr="00000000" w14:paraId="00000281">
      <w:pPr>
        <w:jc w:val="both"/>
        <w:rPr>
          <w:sz w:val="24"/>
          <w:szCs w:val="24"/>
        </w:rPr>
      </w:pPr>
      <w:r w:rsidDel="00000000" w:rsidR="00000000" w:rsidRPr="00000000">
        <w:rPr>
          <w:rtl w:val="0"/>
        </w:rPr>
      </w:r>
    </w:p>
    <w:p w:rsidR="00000000" w:rsidDel="00000000" w:rsidP="00000000" w:rsidRDefault="00000000" w:rsidRPr="00000000" w14:paraId="00000282">
      <w:pPr>
        <w:pStyle w:val="Subtitle"/>
        <w:rPr/>
      </w:pPr>
      <w:r w:rsidDel="00000000" w:rsidR="00000000" w:rsidRPr="00000000">
        <w:rPr>
          <w:rtl w:val="0"/>
        </w:rPr>
        <w:t xml:space="preserve">Example</w:t>
      </w:r>
    </w:p>
    <w:p w:rsidR="00000000" w:rsidDel="00000000" w:rsidP="00000000" w:rsidRDefault="00000000" w:rsidRPr="00000000" w14:paraId="00000283">
      <w:pPr>
        <w:jc w:val="both"/>
        <w:rPr>
          <w:sz w:val="24"/>
          <w:szCs w:val="24"/>
        </w:rPr>
      </w:pPr>
      <w:r w:rsidDel="00000000" w:rsidR="00000000" w:rsidRPr="00000000">
        <w:rPr>
          <w:sz w:val="24"/>
          <w:szCs w:val="24"/>
          <w:rtl w:val="0"/>
        </w:rPr>
        <w:t xml:space="preserve">Syensqo enters into a 2-year contract with a customer.  If the customer purchases at least 1,000 tons of product A under the contract, Syensqo agrees to renew the contract for an additional year, and to grant a discount of 30% on the sales price of product A for future sales under the renewed contract.  Syensqo does not grant this type of discount to other similar customers.  Therefore, the promise of future discount constitutes a material right for the customer.  Consequently, revenue recognition of products sold under the initial contract is reduced, in order to take into account the future discount that will be granted under the renewed contract.</w:t>
      </w:r>
    </w:p>
    <w:tbl>
      <w:tblPr>
        <w:tblStyle w:val="Table19"/>
        <w:tblW w:w="954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A0"/>
      </w:tblPr>
      <w:tblGrid>
        <w:gridCol w:w="3652"/>
        <w:gridCol w:w="1701"/>
        <w:gridCol w:w="1843"/>
        <w:gridCol w:w="1559"/>
        <w:gridCol w:w="791"/>
        <w:tblGridChange w:id="0">
          <w:tblGrid>
            <w:gridCol w:w="3652"/>
            <w:gridCol w:w="1701"/>
            <w:gridCol w:w="1843"/>
            <w:gridCol w:w="1559"/>
            <w:gridCol w:w="791"/>
          </w:tblGrid>
        </w:tblGridChange>
      </w:tblGrid>
      <w:tr>
        <w:trPr>
          <w:cantSplit w:val="0"/>
          <w:tblHeader w:val="0"/>
        </w:trPr>
        <w:tc>
          <w:tcPr>
            <w:shd w:fill="548dd4" w:val="clear"/>
          </w:tcPr>
          <w:p w:rsidR="00000000" w:rsidDel="00000000" w:rsidP="00000000" w:rsidRDefault="00000000" w:rsidRPr="00000000" w14:paraId="00000284">
            <w:pPr>
              <w:jc w:val="both"/>
              <w:rPr>
                <w:sz w:val="24"/>
                <w:szCs w:val="24"/>
              </w:rPr>
            </w:pPr>
            <w:r w:rsidDel="00000000" w:rsidR="00000000" w:rsidRPr="00000000">
              <w:rPr>
                <w:rtl w:val="0"/>
              </w:rPr>
            </w:r>
          </w:p>
        </w:tc>
        <w:tc>
          <w:tcPr>
            <w:shd w:fill="548dd4" w:val="clear"/>
            <w:vAlign w:val="center"/>
          </w:tcPr>
          <w:p w:rsidR="00000000" w:rsidDel="00000000" w:rsidP="00000000" w:rsidRDefault="00000000" w:rsidRPr="00000000" w14:paraId="00000285">
            <w:pPr>
              <w:jc w:val="center"/>
              <w:rPr>
                <w:sz w:val="24"/>
                <w:szCs w:val="24"/>
              </w:rPr>
            </w:pPr>
            <w:r w:rsidDel="00000000" w:rsidR="00000000" w:rsidRPr="00000000">
              <w:rPr>
                <w:sz w:val="24"/>
                <w:szCs w:val="24"/>
                <w:rtl w:val="0"/>
              </w:rPr>
              <w:t xml:space="preserve">Existing contract</w:t>
            </w:r>
          </w:p>
        </w:tc>
        <w:tc>
          <w:tcPr>
            <w:shd w:fill="548dd4" w:val="clear"/>
            <w:vAlign w:val="center"/>
          </w:tcPr>
          <w:p w:rsidR="00000000" w:rsidDel="00000000" w:rsidP="00000000" w:rsidRDefault="00000000" w:rsidRPr="00000000" w14:paraId="00000286">
            <w:pPr>
              <w:jc w:val="center"/>
              <w:rPr>
                <w:sz w:val="24"/>
                <w:szCs w:val="24"/>
              </w:rPr>
            </w:pPr>
            <w:r w:rsidDel="00000000" w:rsidR="00000000" w:rsidRPr="00000000">
              <w:rPr>
                <w:sz w:val="24"/>
                <w:szCs w:val="24"/>
                <w:rtl w:val="0"/>
              </w:rPr>
              <w:t xml:space="preserve">Renewed contract</w:t>
            </w:r>
          </w:p>
        </w:tc>
        <w:tc>
          <w:tcPr>
            <w:shd w:fill="548dd4" w:val="clear"/>
            <w:vAlign w:val="center"/>
          </w:tcPr>
          <w:p w:rsidR="00000000" w:rsidDel="00000000" w:rsidP="00000000" w:rsidRDefault="00000000" w:rsidRPr="00000000" w14:paraId="00000287">
            <w:pPr>
              <w:jc w:val="center"/>
              <w:rPr>
                <w:sz w:val="24"/>
                <w:szCs w:val="24"/>
              </w:rPr>
            </w:pPr>
            <w:r w:rsidDel="00000000" w:rsidR="00000000" w:rsidRPr="00000000">
              <w:rPr>
                <w:sz w:val="24"/>
                <w:szCs w:val="24"/>
                <w:rtl w:val="0"/>
              </w:rPr>
              <w:t xml:space="preserve">Total</w:t>
            </w:r>
          </w:p>
        </w:tc>
        <w:tc>
          <w:tcPr>
            <w:shd w:fill="548dd4" w:val="clear"/>
            <w:vAlign w:val="center"/>
          </w:tcPr>
          <w:p w:rsidR="00000000" w:rsidDel="00000000" w:rsidP="00000000" w:rsidRDefault="00000000" w:rsidRPr="00000000" w14:paraId="00000288">
            <w:pPr>
              <w:jc w:val="center"/>
              <w:rPr>
                <w:sz w:val="24"/>
                <w:szCs w:val="24"/>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tcBorders>
          </w:tcPr>
          <w:p w:rsidR="00000000" w:rsidDel="00000000" w:rsidP="00000000" w:rsidRDefault="00000000" w:rsidRPr="00000000" w14:paraId="00000289">
            <w:pPr>
              <w:jc w:val="both"/>
              <w:rPr>
                <w:sz w:val="24"/>
                <w:szCs w:val="24"/>
              </w:rPr>
            </w:pPr>
            <w:r w:rsidDel="00000000" w:rsidR="00000000" w:rsidRPr="00000000">
              <w:rPr>
                <w:sz w:val="24"/>
                <w:szCs w:val="24"/>
                <w:rtl w:val="0"/>
              </w:rPr>
              <w:t xml:space="preserve">Unit price/ton</w:t>
            </w:r>
          </w:p>
        </w:tc>
        <w:tc>
          <w:tcPr>
            <w:tcBorders>
              <w:top w:color="000000" w:space="0" w:sz="0" w:val="nil"/>
              <w:bottom w:color="000000" w:space="0" w:sz="0" w:val="nil"/>
            </w:tcBorders>
            <w:vAlign w:val="center"/>
          </w:tcPr>
          <w:p w:rsidR="00000000" w:rsidDel="00000000" w:rsidP="00000000" w:rsidRDefault="00000000" w:rsidRPr="00000000" w14:paraId="0000028A">
            <w:pPr>
              <w:jc w:val="right"/>
              <w:rPr>
                <w:sz w:val="24"/>
                <w:szCs w:val="24"/>
              </w:rPr>
            </w:pPr>
            <w:r w:rsidDel="00000000" w:rsidR="00000000" w:rsidRPr="00000000">
              <w:rPr>
                <w:sz w:val="24"/>
                <w:szCs w:val="24"/>
                <w:rtl w:val="0"/>
              </w:rPr>
              <w:t xml:space="preserve">20</w:t>
            </w:r>
          </w:p>
        </w:tc>
        <w:tc>
          <w:tcPr>
            <w:tcBorders>
              <w:top w:color="000000" w:space="0" w:sz="0" w:val="nil"/>
              <w:bottom w:color="000000" w:space="0" w:sz="0" w:val="nil"/>
            </w:tcBorders>
            <w:vAlign w:val="center"/>
          </w:tcPr>
          <w:p w:rsidR="00000000" w:rsidDel="00000000" w:rsidP="00000000" w:rsidRDefault="00000000" w:rsidRPr="00000000" w14:paraId="0000028B">
            <w:pPr>
              <w:jc w:val="right"/>
              <w:rPr>
                <w:sz w:val="24"/>
                <w:szCs w:val="24"/>
              </w:rPr>
            </w:pPr>
            <w:r w:rsidDel="00000000" w:rsidR="00000000" w:rsidRPr="00000000">
              <w:rPr>
                <w:sz w:val="24"/>
                <w:szCs w:val="24"/>
                <w:rtl w:val="0"/>
              </w:rPr>
              <w:t xml:space="preserve">14</w:t>
            </w:r>
          </w:p>
        </w:tc>
        <w:tc>
          <w:tcPr>
            <w:tcBorders>
              <w:top w:color="000000" w:space="0" w:sz="0" w:val="nil"/>
              <w:bottom w:color="000000" w:space="0" w:sz="0" w:val="nil"/>
            </w:tcBorders>
            <w:vAlign w:val="center"/>
          </w:tcPr>
          <w:p w:rsidR="00000000" w:rsidDel="00000000" w:rsidP="00000000" w:rsidRDefault="00000000" w:rsidRPr="00000000" w14:paraId="0000028C">
            <w:pPr>
              <w:jc w:val="right"/>
              <w:rPr>
                <w:sz w:val="24"/>
                <w:szCs w:val="24"/>
              </w:rPr>
            </w:pPr>
            <w:r w:rsidDel="00000000" w:rsidR="00000000" w:rsidRPr="00000000">
              <w:rPr>
                <w:rtl w:val="0"/>
              </w:rPr>
            </w:r>
          </w:p>
        </w:tc>
        <w:tc>
          <w:tcPr>
            <w:tcBorders>
              <w:top w:color="000000" w:space="0" w:sz="0" w:val="nil"/>
              <w:bottom w:color="000000" w:space="0" w:sz="0" w:val="nil"/>
              <w:right w:color="000000" w:space="0" w:sz="0" w:val="nil"/>
            </w:tcBorders>
            <w:vAlign w:val="center"/>
          </w:tcPr>
          <w:p w:rsidR="00000000" w:rsidDel="00000000" w:rsidP="00000000" w:rsidRDefault="00000000" w:rsidRPr="00000000" w14:paraId="0000028D">
            <w:pPr>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28E">
            <w:pPr>
              <w:jc w:val="both"/>
              <w:rPr>
                <w:sz w:val="24"/>
                <w:szCs w:val="24"/>
              </w:rPr>
            </w:pPr>
            <w:r w:rsidDel="00000000" w:rsidR="00000000" w:rsidRPr="00000000">
              <w:rPr>
                <w:sz w:val="24"/>
                <w:szCs w:val="24"/>
                <w:rtl w:val="0"/>
              </w:rPr>
              <w:t xml:space="preserve">Volume expected to be sold</w:t>
            </w:r>
          </w:p>
        </w:tc>
        <w:tc>
          <w:tcPr>
            <w:vAlign w:val="center"/>
          </w:tcPr>
          <w:p w:rsidR="00000000" w:rsidDel="00000000" w:rsidP="00000000" w:rsidRDefault="00000000" w:rsidRPr="00000000" w14:paraId="0000028F">
            <w:pPr>
              <w:jc w:val="right"/>
              <w:rPr>
                <w:sz w:val="24"/>
                <w:szCs w:val="24"/>
              </w:rPr>
            </w:pPr>
            <w:r w:rsidDel="00000000" w:rsidR="00000000" w:rsidRPr="00000000">
              <w:rPr>
                <w:sz w:val="24"/>
                <w:szCs w:val="24"/>
                <w:rtl w:val="0"/>
              </w:rPr>
              <w:t xml:space="preserve">3,000</w:t>
            </w:r>
          </w:p>
        </w:tc>
        <w:tc>
          <w:tcPr>
            <w:vAlign w:val="center"/>
          </w:tcPr>
          <w:p w:rsidR="00000000" w:rsidDel="00000000" w:rsidP="00000000" w:rsidRDefault="00000000" w:rsidRPr="00000000" w14:paraId="00000290">
            <w:pPr>
              <w:jc w:val="right"/>
              <w:rPr>
                <w:sz w:val="24"/>
                <w:szCs w:val="24"/>
              </w:rPr>
            </w:pPr>
            <w:r w:rsidDel="00000000" w:rsidR="00000000" w:rsidRPr="00000000">
              <w:rPr>
                <w:sz w:val="24"/>
                <w:szCs w:val="24"/>
                <w:rtl w:val="0"/>
              </w:rPr>
              <w:t xml:space="preserve">1,800</w:t>
            </w:r>
          </w:p>
        </w:tc>
        <w:tc>
          <w:tcPr>
            <w:vAlign w:val="center"/>
          </w:tcPr>
          <w:p w:rsidR="00000000" w:rsidDel="00000000" w:rsidP="00000000" w:rsidRDefault="00000000" w:rsidRPr="00000000" w14:paraId="00000291">
            <w:pPr>
              <w:jc w:val="right"/>
              <w:rPr>
                <w:sz w:val="24"/>
                <w:szCs w:val="24"/>
              </w:rPr>
            </w:pPr>
            <w:r w:rsidDel="00000000" w:rsidR="00000000" w:rsidRPr="00000000">
              <w:rPr>
                <w:sz w:val="24"/>
                <w:szCs w:val="24"/>
                <w:rtl w:val="0"/>
              </w:rPr>
              <w:t xml:space="preserve">4,800</w:t>
            </w:r>
          </w:p>
        </w:tc>
        <w:tc>
          <w:tcPr>
            <w:vAlign w:val="center"/>
          </w:tcPr>
          <w:p w:rsidR="00000000" w:rsidDel="00000000" w:rsidP="00000000" w:rsidRDefault="00000000" w:rsidRPr="00000000" w14:paraId="00000292">
            <w:pPr>
              <w:jc w:val="center"/>
              <w:rPr>
                <w:sz w:val="24"/>
                <w:szCs w:val="24"/>
              </w:rPr>
            </w:pPr>
            <w:r w:rsidDel="00000000" w:rsidR="00000000" w:rsidRPr="00000000">
              <w:rPr>
                <w:sz w:val="24"/>
                <w:szCs w:val="24"/>
                <w:rtl w:val="0"/>
              </w:rPr>
              <w:t xml:space="preserve">(A)</w:t>
            </w:r>
          </w:p>
        </w:tc>
      </w:tr>
      <w:tr>
        <w:trPr>
          <w:cantSplit w:val="0"/>
          <w:tblHeader w:val="0"/>
        </w:trPr>
        <w:tc>
          <w:tcPr>
            <w:tcBorders>
              <w:top w:color="000000" w:space="0" w:sz="0" w:val="nil"/>
              <w:left w:color="000000" w:space="0" w:sz="0" w:val="nil"/>
              <w:bottom w:color="000000" w:space="0" w:sz="0" w:val="nil"/>
            </w:tcBorders>
          </w:tcPr>
          <w:p w:rsidR="00000000" w:rsidDel="00000000" w:rsidP="00000000" w:rsidRDefault="00000000" w:rsidRPr="00000000" w14:paraId="00000293">
            <w:pPr>
              <w:jc w:val="both"/>
              <w:rPr>
                <w:sz w:val="24"/>
                <w:szCs w:val="24"/>
              </w:rPr>
            </w:pPr>
            <w:r w:rsidDel="00000000" w:rsidR="00000000" w:rsidRPr="00000000">
              <w:rPr>
                <w:sz w:val="24"/>
                <w:szCs w:val="24"/>
                <w:rtl w:val="0"/>
              </w:rPr>
              <w:t xml:space="preserve">Revenue recognition under IAS 18</w:t>
            </w:r>
          </w:p>
        </w:tc>
        <w:tc>
          <w:tcPr>
            <w:tcBorders>
              <w:top w:color="000000" w:space="0" w:sz="0" w:val="nil"/>
              <w:bottom w:color="000000" w:space="0" w:sz="0" w:val="nil"/>
            </w:tcBorders>
            <w:vAlign w:val="center"/>
          </w:tcPr>
          <w:p w:rsidR="00000000" w:rsidDel="00000000" w:rsidP="00000000" w:rsidRDefault="00000000" w:rsidRPr="00000000" w14:paraId="00000294">
            <w:pPr>
              <w:jc w:val="right"/>
              <w:rPr>
                <w:sz w:val="24"/>
                <w:szCs w:val="24"/>
              </w:rPr>
            </w:pPr>
            <w:r w:rsidDel="00000000" w:rsidR="00000000" w:rsidRPr="00000000">
              <w:rPr>
                <w:sz w:val="24"/>
                <w:szCs w:val="24"/>
                <w:rtl w:val="0"/>
              </w:rPr>
              <w:t xml:space="preserve">60,000</w:t>
            </w:r>
          </w:p>
        </w:tc>
        <w:tc>
          <w:tcPr>
            <w:tcBorders>
              <w:top w:color="000000" w:space="0" w:sz="0" w:val="nil"/>
              <w:bottom w:color="000000" w:space="0" w:sz="0" w:val="nil"/>
            </w:tcBorders>
            <w:vAlign w:val="center"/>
          </w:tcPr>
          <w:p w:rsidR="00000000" w:rsidDel="00000000" w:rsidP="00000000" w:rsidRDefault="00000000" w:rsidRPr="00000000" w14:paraId="00000295">
            <w:pPr>
              <w:jc w:val="right"/>
              <w:rPr>
                <w:sz w:val="24"/>
                <w:szCs w:val="24"/>
              </w:rPr>
            </w:pPr>
            <w:r w:rsidDel="00000000" w:rsidR="00000000" w:rsidRPr="00000000">
              <w:rPr>
                <w:sz w:val="24"/>
                <w:szCs w:val="24"/>
                <w:rtl w:val="0"/>
              </w:rPr>
              <w:t xml:space="preserve">25,200</w:t>
            </w:r>
          </w:p>
        </w:tc>
        <w:tc>
          <w:tcPr>
            <w:tcBorders>
              <w:top w:color="000000" w:space="0" w:sz="0" w:val="nil"/>
              <w:bottom w:color="000000" w:space="0" w:sz="0" w:val="nil"/>
            </w:tcBorders>
            <w:vAlign w:val="center"/>
          </w:tcPr>
          <w:p w:rsidR="00000000" w:rsidDel="00000000" w:rsidP="00000000" w:rsidRDefault="00000000" w:rsidRPr="00000000" w14:paraId="00000296">
            <w:pPr>
              <w:jc w:val="right"/>
              <w:rPr>
                <w:sz w:val="24"/>
                <w:szCs w:val="24"/>
              </w:rPr>
            </w:pPr>
            <w:r w:rsidDel="00000000" w:rsidR="00000000" w:rsidRPr="00000000">
              <w:rPr>
                <w:sz w:val="24"/>
                <w:szCs w:val="24"/>
                <w:rtl w:val="0"/>
              </w:rPr>
              <w:t xml:space="preserve">85,200</w:t>
            </w:r>
          </w:p>
        </w:tc>
        <w:tc>
          <w:tcPr>
            <w:tcBorders>
              <w:top w:color="000000" w:space="0" w:sz="0" w:val="nil"/>
              <w:bottom w:color="000000" w:space="0" w:sz="0" w:val="nil"/>
              <w:right w:color="000000" w:space="0" w:sz="0" w:val="nil"/>
            </w:tcBorders>
            <w:vAlign w:val="center"/>
          </w:tcPr>
          <w:p w:rsidR="00000000" w:rsidDel="00000000" w:rsidP="00000000" w:rsidRDefault="00000000" w:rsidRPr="00000000" w14:paraId="00000297">
            <w:pPr>
              <w:jc w:val="center"/>
              <w:rPr>
                <w:sz w:val="24"/>
                <w:szCs w:val="24"/>
              </w:rPr>
            </w:pPr>
            <w:r w:rsidDel="00000000" w:rsidR="00000000" w:rsidRPr="00000000">
              <w:rPr>
                <w:sz w:val="24"/>
                <w:szCs w:val="24"/>
                <w:rtl w:val="0"/>
              </w:rPr>
              <w:t xml:space="preserve">(B)</w:t>
            </w:r>
          </w:p>
        </w:tc>
      </w:tr>
      <w:tr>
        <w:trPr>
          <w:cantSplit w:val="0"/>
          <w:tblHeader w:val="0"/>
        </w:trPr>
        <w:tc>
          <w:tcPr/>
          <w:p w:rsidR="00000000" w:rsidDel="00000000" w:rsidP="00000000" w:rsidRDefault="00000000" w:rsidRPr="00000000" w14:paraId="00000298">
            <w:pPr>
              <w:jc w:val="both"/>
              <w:rPr>
                <w:sz w:val="24"/>
                <w:szCs w:val="24"/>
              </w:rPr>
            </w:pPr>
            <w:r w:rsidDel="00000000" w:rsidR="00000000" w:rsidRPr="00000000">
              <w:rPr>
                <w:sz w:val="24"/>
                <w:szCs w:val="24"/>
                <w:rtl w:val="0"/>
              </w:rPr>
              <w:t xml:space="preserve">Revenue recognition per ton under IFRS 15</w:t>
            </w:r>
          </w:p>
        </w:tc>
        <w:tc>
          <w:tcPr>
            <w:vAlign w:val="center"/>
          </w:tcPr>
          <w:p w:rsidR="00000000" w:rsidDel="00000000" w:rsidP="00000000" w:rsidRDefault="00000000" w:rsidRPr="00000000" w14:paraId="00000299">
            <w:pPr>
              <w:jc w:val="right"/>
              <w:rPr>
                <w:sz w:val="24"/>
                <w:szCs w:val="24"/>
              </w:rPr>
            </w:pPr>
            <w:r w:rsidDel="00000000" w:rsidR="00000000" w:rsidRPr="00000000">
              <w:rPr>
                <w:sz w:val="24"/>
                <w:szCs w:val="24"/>
                <w:rtl w:val="0"/>
              </w:rPr>
              <w:t xml:space="preserve">17.75</w:t>
            </w:r>
          </w:p>
        </w:tc>
        <w:tc>
          <w:tcPr>
            <w:vAlign w:val="center"/>
          </w:tcPr>
          <w:p w:rsidR="00000000" w:rsidDel="00000000" w:rsidP="00000000" w:rsidRDefault="00000000" w:rsidRPr="00000000" w14:paraId="0000029A">
            <w:pPr>
              <w:jc w:val="right"/>
              <w:rPr>
                <w:sz w:val="24"/>
                <w:szCs w:val="24"/>
              </w:rPr>
            </w:pPr>
            <w:r w:rsidDel="00000000" w:rsidR="00000000" w:rsidRPr="00000000">
              <w:rPr>
                <w:sz w:val="24"/>
                <w:szCs w:val="24"/>
                <w:rtl w:val="0"/>
              </w:rPr>
              <w:t xml:space="preserve">17.75</w:t>
            </w:r>
          </w:p>
        </w:tc>
        <w:tc>
          <w:tcPr>
            <w:vAlign w:val="center"/>
          </w:tcPr>
          <w:p w:rsidR="00000000" w:rsidDel="00000000" w:rsidP="00000000" w:rsidRDefault="00000000" w:rsidRPr="00000000" w14:paraId="0000029B">
            <w:pPr>
              <w:jc w:val="right"/>
              <w:rPr>
                <w:sz w:val="24"/>
                <w:szCs w:val="24"/>
              </w:rPr>
            </w:pPr>
            <w:r w:rsidDel="00000000" w:rsidR="00000000" w:rsidRPr="00000000">
              <w:rPr>
                <w:sz w:val="24"/>
                <w:szCs w:val="24"/>
                <w:rtl w:val="0"/>
              </w:rPr>
              <w:t xml:space="preserve">17.75</w:t>
            </w:r>
          </w:p>
        </w:tc>
        <w:tc>
          <w:tcPr>
            <w:vAlign w:val="center"/>
          </w:tcPr>
          <w:p w:rsidR="00000000" w:rsidDel="00000000" w:rsidP="00000000" w:rsidRDefault="00000000" w:rsidRPr="00000000" w14:paraId="0000029C">
            <w:pPr>
              <w:jc w:val="center"/>
              <w:rPr>
                <w:sz w:val="24"/>
                <w:szCs w:val="24"/>
              </w:rPr>
            </w:pPr>
            <w:r w:rsidDel="00000000" w:rsidR="00000000" w:rsidRPr="00000000">
              <w:rPr>
                <w:sz w:val="24"/>
                <w:szCs w:val="24"/>
                <w:rtl w:val="0"/>
              </w:rPr>
              <w:t xml:space="preserve">(B/A)</w:t>
            </w:r>
          </w:p>
        </w:tc>
      </w:tr>
      <w:tr>
        <w:trPr>
          <w:cantSplit w:val="0"/>
          <w:tblHeader w:val="0"/>
        </w:trPr>
        <w:tc>
          <w:tcPr>
            <w:tcBorders>
              <w:top w:color="000000" w:space="0" w:sz="0" w:val="nil"/>
              <w:left w:color="000000" w:space="0" w:sz="0" w:val="nil"/>
              <w:bottom w:color="000000" w:space="0" w:sz="0" w:val="nil"/>
            </w:tcBorders>
          </w:tcPr>
          <w:p w:rsidR="00000000" w:rsidDel="00000000" w:rsidP="00000000" w:rsidRDefault="00000000" w:rsidRPr="00000000" w14:paraId="0000029D">
            <w:pPr>
              <w:jc w:val="both"/>
              <w:rPr>
                <w:sz w:val="24"/>
                <w:szCs w:val="24"/>
              </w:rPr>
            </w:pPr>
            <w:r w:rsidDel="00000000" w:rsidR="00000000" w:rsidRPr="00000000">
              <w:rPr>
                <w:sz w:val="24"/>
                <w:szCs w:val="24"/>
                <w:rtl w:val="0"/>
              </w:rPr>
              <w:t xml:space="preserve">Revenue recognition under IFRS 15</w:t>
            </w:r>
          </w:p>
        </w:tc>
        <w:tc>
          <w:tcPr>
            <w:tcBorders>
              <w:top w:color="000000" w:space="0" w:sz="0" w:val="nil"/>
              <w:bottom w:color="000000" w:space="0" w:sz="0" w:val="nil"/>
            </w:tcBorders>
            <w:vAlign w:val="center"/>
          </w:tcPr>
          <w:p w:rsidR="00000000" w:rsidDel="00000000" w:rsidP="00000000" w:rsidRDefault="00000000" w:rsidRPr="00000000" w14:paraId="0000029E">
            <w:pPr>
              <w:jc w:val="right"/>
              <w:rPr>
                <w:sz w:val="24"/>
                <w:szCs w:val="24"/>
              </w:rPr>
            </w:pPr>
            <w:r w:rsidDel="00000000" w:rsidR="00000000" w:rsidRPr="00000000">
              <w:rPr>
                <w:sz w:val="24"/>
                <w:szCs w:val="24"/>
                <w:rtl w:val="0"/>
              </w:rPr>
              <w:t xml:space="preserve">53,250</w:t>
            </w:r>
          </w:p>
        </w:tc>
        <w:tc>
          <w:tcPr>
            <w:tcBorders>
              <w:top w:color="000000" w:space="0" w:sz="0" w:val="nil"/>
              <w:bottom w:color="000000" w:space="0" w:sz="0" w:val="nil"/>
            </w:tcBorders>
            <w:vAlign w:val="center"/>
          </w:tcPr>
          <w:p w:rsidR="00000000" w:rsidDel="00000000" w:rsidP="00000000" w:rsidRDefault="00000000" w:rsidRPr="00000000" w14:paraId="0000029F">
            <w:pPr>
              <w:jc w:val="right"/>
              <w:rPr>
                <w:sz w:val="24"/>
                <w:szCs w:val="24"/>
              </w:rPr>
            </w:pPr>
            <w:r w:rsidDel="00000000" w:rsidR="00000000" w:rsidRPr="00000000">
              <w:rPr>
                <w:sz w:val="24"/>
                <w:szCs w:val="24"/>
                <w:rtl w:val="0"/>
              </w:rPr>
              <w:t xml:space="preserve">31,950</w:t>
            </w:r>
          </w:p>
        </w:tc>
        <w:tc>
          <w:tcPr>
            <w:tcBorders>
              <w:top w:color="000000" w:space="0" w:sz="0" w:val="nil"/>
              <w:bottom w:color="000000" w:space="0" w:sz="0" w:val="nil"/>
            </w:tcBorders>
            <w:vAlign w:val="center"/>
          </w:tcPr>
          <w:p w:rsidR="00000000" w:rsidDel="00000000" w:rsidP="00000000" w:rsidRDefault="00000000" w:rsidRPr="00000000" w14:paraId="000002A0">
            <w:pPr>
              <w:jc w:val="right"/>
              <w:rPr>
                <w:sz w:val="24"/>
                <w:szCs w:val="24"/>
              </w:rPr>
            </w:pPr>
            <w:r w:rsidDel="00000000" w:rsidR="00000000" w:rsidRPr="00000000">
              <w:rPr>
                <w:sz w:val="24"/>
                <w:szCs w:val="24"/>
                <w:rtl w:val="0"/>
              </w:rPr>
              <w:t xml:space="preserve">85,200</w:t>
            </w:r>
          </w:p>
        </w:tc>
        <w:tc>
          <w:tcPr>
            <w:tcBorders>
              <w:top w:color="000000" w:space="0" w:sz="0" w:val="nil"/>
              <w:bottom w:color="000000" w:space="0" w:sz="0" w:val="nil"/>
              <w:right w:color="000000" w:space="0" w:sz="0" w:val="nil"/>
            </w:tcBorders>
            <w:vAlign w:val="center"/>
          </w:tcPr>
          <w:p w:rsidR="00000000" w:rsidDel="00000000" w:rsidP="00000000" w:rsidRDefault="00000000" w:rsidRPr="00000000" w14:paraId="000002A1">
            <w:pPr>
              <w:jc w:val="center"/>
              <w:rPr>
                <w:sz w:val="24"/>
                <w:szCs w:val="24"/>
              </w:rPr>
            </w:pPr>
            <w:r w:rsidDel="00000000" w:rsidR="00000000" w:rsidRPr="00000000">
              <w:rPr>
                <w:rtl w:val="0"/>
              </w:rPr>
            </w:r>
          </w:p>
        </w:tc>
      </w:tr>
    </w:tbl>
    <w:p w:rsidR="00000000" w:rsidDel="00000000" w:rsidP="00000000" w:rsidRDefault="00000000" w:rsidRPr="00000000" w14:paraId="000002A2">
      <w:pPr>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2A3">
      <w:pPr>
        <w:pStyle w:val="Heading2"/>
        <w:numPr>
          <w:ilvl w:val="0"/>
          <w:numId w:val="32"/>
        </w:numPr>
        <w:ind w:left="1440" w:hanging="360"/>
        <w:rPr/>
      </w:pPr>
      <w:bookmarkStart w:colFirst="0" w:colLast="0" w:name="_heading=h.dpin13gd5bt" w:id="36"/>
      <w:bookmarkEnd w:id="36"/>
      <w:r w:rsidDel="00000000" w:rsidR="00000000" w:rsidRPr="00000000">
        <w:rPr>
          <w:rtl w:val="0"/>
        </w:rPr>
        <w:t xml:space="preserve">Repurchase agreements</w:t>
      </w:r>
    </w:p>
    <w:p w:rsidR="00000000" w:rsidDel="00000000" w:rsidP="00000000" w:rsidRDefault="00000000" w:rsidRPr="00000000" w14:paraId="000002A4">
      <w:pPr>
        <w:jc w:val="both"/>
        <w:rPr>
          <w:sz w:val="24"/>
          <w:szCs w:val="24"/>
        </w:rPr>
      </w:pPr>
      <w:r w:rsidDel="00000000" w:rsidR="00000000" w:rsidRPr="00000000">
        <w:rPr>
          <w:sz w:val="24"/>
          <w:szCs w:val="24"/>
          <w:rtl w:val="0"/>
        </w:rPr>
        <w:t xml:space="preserve">A repurchase agreement is a contract in which an entity sells an asset and also promises or has the option to repurchase the asset.  </w:t>
      </w:r>
    </w:p>
    <w:p w:rsidR="00000000" w:rsidDel="00000000" w:rsidP="00000000" w:rsidRDefault="00000000" w:rsidRPr="00000000" w14:paraId="000002A5">
      <w:pPr>
        <w:jc w:val="both"/>
        <w:rPr>
          <w:sz w:val="24"/>
          <w:szCs w:val="24"/>
        </w:rPr>
      </w:pPr>
      <w:r w:rsidDel="00000000" w:rsidR="00000000" w:rsidRPr="00000000">
        <w:rPr>
          <w:sz w:val="24"/>
          <w:szCs w:val="24"/>
          <w:rtl w:val="0"/>
        </w:rPr>
        <w:t xml:space="preserve">Repurchase agreements generally come in three forms:</w:t>
      </w:r>
    </w:p>
    <w:p w:rsidR="00000000" w:rsidDel="00000000" w:rsidP="00000000" w:rsidRDefault="00000000" w:rsidRPr="00000000" w14:paraId="000002A6">
      <w:pPr>
        <w:numPr>
          <w:ilvl w:val="0"/>
          <w:numId w:val="22"/>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An entity’s obligation to repurchase the asset (a forward)</w:t>
      </w:r>
    </w:p>
    <w:p w:rsidR="00000000" w:rsidDel="00000000" w:rsidP="00000000" w:rsidRDefault="00000000" w:rsidRPr="00000000" w14:paraId="000002A7">
      <w:pPr>
        <w:numPr>
          <w:ilvl w:val="0"/>
          <w:numId w:val="22"/>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An entity’s right to repurchase the asset (a call option)</w:t>
      </w:r>
    </w:p>
    <w:p w:rsidR="00000000" w:rsidDel="00000000" w:rsidP="00000000" w:rsidRDefault="00000000" w:rsidRPr="00000000" w14:paraId="000002A8">
      <w:pPr>
        <w:numPr>
          <w:ilvl w:val="0"/>
          <w:numId w:val="22"/>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An entity’s obligation to repurchase the asset at the customer’s request (a put option)</w:t>
      </w:r>
    </w:p>
    <w:p w:rsidR="00000000" w:rsidDel="00000000" w:rsidP="00000000" w:rsidRDefault="00000000" w:rsidRPr="00000000" w14:paraId="000002A9">
      <w:pPr>
        <w:pBdr>
          <w:top w:space="0" w:sz="0" w:val="nil"/>
          <w:left w:space="0" w:sz="0" w:val="nil"/>
          <w:bottom w:space="0" w:sz="0" w:val="nil"/>
          <w:right w:space="0" w:sz="0" w:val="nil"/>
          <w:between w:space="0" w:sz="0" w:val="nil"/>
        </w:pBdr>
        <w:ind w:left="720" w:firstLine="0"/>
        <w:jc w:val="both"/>
        <w:rPr>
          <w:color w:val="000000"/>
          <w:sz w:val="24"/>
          <w:szCs w:val="24"/>
        </w:rPr>
      </w:pPr>
      <w:r w:rsidDel="00000000" w:rsidR="00000000" w:rsidRPr="00000000">
        <w:rPr>
          <w:rtl w:val="0"/>
        </w:rPr>
      </w:r>
    </w:p>
    <w:p w:rsidR="00000000" w:rsidDel="00000000" w:rsidP="00000000" w:rsidRDefault="00000000" w:rsidRPr="00000000" w14:paraId="000002AA">
      <w:pPr>
        <w:pStyle w:val="Heading3"/>
        <w:numPr>
          <w:ilvl w:val="0"/>
          <w:numId w:val="37"/>
        </w:numPr>
        <w:ind w:left="426" w:hanging="360"/>
        <w:rPr/>
      </w:pPr>
      <w:bookmarkStart w:colFirst="0" w:colLast="0" w:name="_heading=h.nozjdcqou3oi" w:id="37"/>
      <w:bookmarkEnd w:id="37"/>
      <w:r w:rsidDel="00000000" w:rsidR="00000000" w:rsidRPr="00000000">
        <w:rPr>
          <w:rtl w:val="0"/>
        </w:rPr>
        <w:t xml:space="preserve">Forward or call option held by the entity</w:t>
      </w:r>
    </w:p>
    <w:p w:rsidR="00000000" w:rsidDel="00000000" w:rsidP="00000000" w:rsidRDefault="00000000" w:rsidRPr="00000000" w14:paraId="000002AB">
      <w:pPr>
        <w:jc w:val="both"/>
        <w:rPr>
          <w:sz w:val="24"/>
          <w:szCs w:val="24"/>
        </w:rPr>
      </w:pPr>
      <w:r w:rsidDel="00000000" w:rsidR="00000000" w:rsidRPr="00000000">
        <w:rPr>
          <w:sz w:val="24"/>
          <w:szCs w:val="24"/>
          <w:rtl w:val="0"/>
        </w:rPr>
        <w:t xml:space="preserve">When an entity has the unconditional obligation (forward) or right (call option) to repurchase an asset, IFRS 15 is clear that the customer has not obtained control of the asset.  </w:t>
      </w:r>
    </w:p>
    <w:p w:rsidR="00000000" w:rsidDel="00000000" w:rsidP="00000000" w:rsidRDefault="00000000" w:rsidRPr="00000000" w14:paraId="000002AC">
      <w:pPr>
        <w:jc w:val="both"/>
        <w:rPr>
          <w:sz w:val="24"/>
          <w:szCs w:val="24"/>
        </w:rPr>
      </w:pPr>
      <w:r w:rsidDel="00000000" w:rsidR="00000000" w:rsidRPr="00000000">
        <w:rPr>
          <w:sz w:val="24"/>
          <w:szCs w:val="24"/>
          <w:rtl w:val="0"/>
        </w:rPr>
        <w:t xml:space="preserve">IFRS 15 requires that an entity accounts for a transaction including a forward or a call option based on the relationship between the repurchase price and the original selling price.</w:t>
      </w:r>
    </w:p>
    <w:p w:rsidR="00000000" w:rsidDel="00000000" w:rsidP="00000000" w:rsidRDefault="00000000" w:rsidRPr="00000000" w14:paraId="000002AD">
      <w:pPr>
        <w:jc w:val="both"/>
        <w:rPr>
          <w:sz w:val="24"/>
          <w:szCs w:val="24"/>
        </w:rPr>
      </w:pPr>
      <w:r w:rsidDel="00000000" w:rsidR="00000000" w:rsidRPr="00000000">
        <w:rPr>
          <w:sz w:val="24"/>
          <w:szCs w:val="24"/>
          <w:rtl w:val="0"/>
        </w:rPr>
        <w:t xml:space="preserve">If the entity has the right or obligation to repurchase the asset at a price less than the original selling price, the entity would account for the transaction as a lease.</w:t>
      </w:r>
    </w:p>
    <w:p w:rsidR="00000000" w:rsidDel="00000000" w:rsidP="00000000" w:rsidRDefault="00000000" w:rsidRPr="00000000" w14:paraId="000002AE">
      <w:pPr>
        <w:jc w:val="both"/>
        <w:rPr>
          <w:sz w:val="24"/>
          <w:szCs w:val="24"/>
        </w:rPr>
      </w:pPr>
      <w:r w:rsidDel="00000000" w:rsidR="00000000" w:rsidRPr="00000000">
        <w:rPr>
          <w:sz w:val="24"/>
          <w:szCs w:val="24"/>
          <w:rtl w:val="0"/>
        </w:rPr>
        <w:t xml:space="preserve">If the entity has the right or obligation to repurchase the asset at a price equal to or greater than the original sales price, the entity would account for it as a financing arrangement.  In this case, the selling entity would continue to recognize the asset and would record a financial liability for the consideration received from the customer.  The difference between the consideration received from the customer and the considerations subsequently paid to the customer (upon repurchasing the asset) represents the interest and holding costs that are recognized over the term of the financing arrangement.  If the option lapses unexercised, the entity derecognizes the liability and recognizes revenue at that time.  </w:t>
      </w:r>
    </w:p>
    <w:p w:rsidR="00000000" w:rsidDel="00000000" w:rsidP="00000000" w:rsidRDefault="00000000" w:rsidRPr="00000000" w14:paraId="000002AF">
      <w:pPr>
        <w:jc w:val="both"/>
        <w:rPr>
          <w:sz w:val="24"/>
          <w:szCs w:val="24"/>
        </w:rPr>
      </w:pPr>
      <w:r w:rsidDel="00000000" w:rsidR="00000000" w:rsidRPr="00000000">
        <w:rPr>
          <w:sz w:val="24"/>
          <w:szCs w:val="24"/>
          <w:rtl w:val="0"/>
        </w:rPr>
        <w:t xml:space="preserve">NB: all forwards and call options are treated the same way. The likelihood that they will be exercised is not taken into account. </w:t>
      </w:r>
    </w:p>
    <w:p w:rsidR="00000000" w:rsidDel="00000000" w:rsidP="00000000" w:rsidRDefault="00000000" w:rsidRPr="00000000" w14:paraId="000002B0">
      <w:pPr>
        <w:pStyle w:val="Heading3"/>
        <w:numPr>
          <w:ilvl w:val="0"/>
          <w:numId w:val="37"/>
        </w:numPr>
        <w:ind w:left="426" w:hanging="360"/>
        <w:rPr/>
      </w:pPr>
      <w:bookmarkStart w:colFirst="0" w:colLast="0" w:name="_heading=h.i5trjpmitsnl" w:id="38"/>
      <w:bookmarkEnd w:id="38"/>
      <w:r w:rsidDel="00000000" w:rsidR="00000000" w:rsidRPr="00000000">
        <w:rPr>
          <w:rtl w:val="0"/>
        </w:rPr>
        <w:t xml:space="preserve">Put option held by the customer</w:t>
      </w:r>
    </w:p>
    <w:p w:rsidR="00000000" w:rsidDel="00000000" w:rsidP="00000000" w:rsidRDefault="00000000" w:rsidRPr="00000000" w14:paraId="000002B1">
      <w:pPr>
        <w:jc w:val="both"/>
        <w:rPr>
          <w:sz w:val="24"/>
          <w:szCs w:val="24"/>
        </w:rPr>
      </w:pPr>
      <w:r w:rsidDel="00000000" w:rsidR="00000000" w:rsidRPr="00000000">
        <w:rPr>
          <w:sz w:val="24"/>
          <w:szCs w:val="24"/>
          <w:rtl w:val="0"/>
        </w:rPr>
        <w:t xml:space="preserve">If the customer has the ability to require an entity to repurchase an asset at a price lower than its original selling price, the entity considers whether the customer has a significant economic incentive to exercise that right.  This determination influences whether the customer has truly control over the asset received, and hence whether the arrangement is treated as a lease or as a sale with a right of return.</w:t>
      </w:r>
    </w:p>
    <w:p w:rsidR="00000000" w:rsidDel="00000000" w:rsidP="00000000" w:rsidRDefault="00000000" w:rsidRPr="00000000" w14:paraId="000002B2">
      <w:pPr>
        <w:jc w:val="both"/>
        <w:rPr>
          <w:sz w:val="24"/>
          <w:szCs w:val="24"/>
        </w:rPr>
      </w:pPr>
      <w:r w:rsidDel="00000000" w:rsidR="00000000" w:rsidRPr="00000000">
        <w:rPr>
          <w:sz w:val="24"/>
          <w:szCs w:val="24"/>
          <w:rtl w:val="0"/>
        </w:rPr>
        <w:t xml:space="preserve">If the repurchase price is expected to significantly exceed the market value of the asset (Original selling price &gt; Repurchase price &gt; Expected market value):</w:t>
      </w:r>
    </w:p>
    <w:p w:rsidR="00000000" w:rsidDel="00000000" w:rsidP="00000000" w:rsidRDefault="00000000" w:rsidRPr="00000000" w14:paraId="000002B3">
      <w:pPr>
        <w:numPr>
          <w:ilvl w:val="0"/>
          <w:numId w:val="24"/>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If a customer has a significant economic incentive to exercise its right, the customer is expected to ultimately return the asset and the entity accounts for the agreement as a lease because the customer is effectively paying the entity for the right to use the asset for a period of time.</w:t>
      </w:r>
    </w:p>
    <w:p w:rsidR="00000000" w:rsidDel="00000000" w:rsidP="00000000" w:rsidRDefault="00000000" w:rsidRPr="00000000" w14:paraId="000002B4">
      <w:pPr>
        <w:numPr>
          <w:ilvl w:val="0"/>
          <w:numId w:val="24"/>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If a customer does not have a significant economic incentive to exercise its right, the entity accounts for the agreement in a manner similar to a sale of product with a right of return, as described above.  </w:t>
      </w:r>
    </w:p>
    <w:p w:rsidR="00000000" w:rsidDel="00000000" w:rsidP="00000000" w:rsidRDefault="00000000" w:rsidRPr="00000000" w14:paraId="000002B5">
      <w:pPr>
        <w:jc w:val="both"/>
        <w:rPr>
          <w:sz w:val="24"/>
          <w:szCs w:val="24"/>
        </w:rPr>
      </w:pPr>
      <w:r w:rsidDel="00000000" w:rsidR="00000000" w:rsidRPr="00000000">
        <w:rPr>
          <w:sz w:val="24"/>
          <w:szCs w:val="24"/>
          <w:rtl w:val="0"/>
        </w:rPr>
        <w:t xml:space="preserve">The repurchase price of an asset that is equal or greater than the original selling price, but less than or equal to the expected market value of the asset (Expected market value &gt; Repurchase price &gt; Original Selling price), must be accounted for as a sale of a product with a right of return.</w:t>
      </w:r>
    </w:p>
    <w:p w:rsidR="00000000" w:rsidDel="00000000" w:rsidP="00000000" w:rsidRDefault="00000000" w:rsidRPr="00000000" w14:paraId="000002B6">
      <w:pPr>
        <w:jc w:val="center"/>
        <w:rPr>
          <w:sz w:val="24"/>
          <w:szCs w:val="24"/>
        </w:rPr>
      </w:pPr>
      <w:r w:rsidDel="00000000" w:rsidR="00000000" w:rsidRPr="00000000">
        <w:rPr/>
        <w:drawing>
          <wp:inline distB="0" distT="0" distL="0" distR="0">
            <wp:extent cx="4629150" cy="2482840"/>
            <wp:effectExtent b="0" l="0" r="0" t="0"/>
            <wp:docPr id="2056"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4629150" cy="2482840"/>
                    </a:xfrm>
                    <a:prstGeom prst="rect"/>
                    <a:ln/>
                  </pic:spPr>
                </pic:pic>
              </a:graphicData>
            </a:graphic>
          </wp:inline>
        </w:drawing>
      </w:r>
      <w:r w:rsidDel="00000000" w:rsidR="00000000" w:rsidRPr="00000000">
        <w:rPr>
          <w:rtl w:val="0"/>
        </w:rPr>
      </w:r>
    </w:p>
    <w:p w:rsidR="00000000" w:rsidDel="00000000" w:rsidP="00000000" w:rsidRDefault="00000000" w:rsidRPr="00000000" w14:paraId="000002B7">
      <w:pPr>
        <w:pStyle w:val="Heading2"/>
        <w:numPr>
          <w:ilvl w:val="0"/>
          <w:numId w:val="32"/>
        </w:numPr>
        <w:ind w:left="1440" w:hanging="360"/>
        <w:rPr/>
      </w:pPr>
      <w:bookmarkStart w:colFirst="0" w:colLast="0" w:name="_heading=h.cj5ffu31k1c4" w:id="39"/>
      <w:bookmarkEnd w:id="39"/>
      <w:r w:rsidDel="00000000" w:rsidR="00000000" w:rsidRPr="00000000">
        <w:rPr>
          <w:rtl w:val="0"/>
        </w:rPr>
        <w:t xml:space="preserve">Contract costs</w:t>
      </w:r>
    </w:p>
    <w:p w:rsidR="00000000" w:rsidDel="00000000" w:rsidP="00000000" w:rsidRDefault="00000000" w:rsidRPr="00000000" w14:paraId="000002B8">
      <w:pPr>
        <w:pStyle w:val="Heading3"/>
        <w:rPr/>
      </w:pPr>
      <w:bookmarkStart w:colFirst="0" w:colLast="0" w:name="_heading=h.tij3wlwfc6g9" w:id="40"/>
      <w:bookmarkEnd w:id="40"/>
      <w:r w:rsidDel="00000000" w:rsidR="00000000" w:rsidRPr="00000000">
        <w:rPr>
          <w:rtl w:val="0"/>
        </w:rPr>
        <w:t xml:space="preserve">Incremental costs of obtaining a contract</w:t>
      </w:r>
    </w:p>
    <w:p w:rsidR="00000000" w:rsidDel="00000000" w:rsidP="00000000" w:rsidRDefault="00000000" w:rsidRPr="00000000" w14:paraId="000002B9">
      <w:pPr>
        <w:jc w:val="both"/>
        <w:rPr>
          <w:sz w:val="24"/>
          <w:szCs w:val="24"/>
        </w:rPr>
      </w:pPr>
      <w:r w:rsidDel="00000000" w:rsidR="00000000" w:rsidRPr="00000000">
        <w:rPr>
          <w:sz w:val="24"/>
          <w:szCs w:val="24"/>
          <w:rtl w:val="0"/>
        </w:rPr>
        <w:t xml:space="preserve">Incremental costs are those costs incurred in obtaining a contract that would not have been incurred had that individual contract not been obtained.  Only costs such as sales commissions that are only paid if a specified contract is obtained are incremental. These costs are recognized as an asset and then amortized on a basis that reflects the transfer of goods or services to the customer.  </w:t>
      </w:r>
    </w:p>
    <w:p w:rsidR="00000000" w:rsidDel="00000000" w:rsidP="00000000" w:rsidRDefault="00000000" w:rsidRPr="00000000" w14:paraId="000002BA">
      <w:pPr>
        <w:jc w:val="both"/>
        <w:rPr>
          <w:sz w:val="24"/>
          <w:szCs w:val="24"/>
        </w:rPr>
      </w:pPr>
      <w:r w:rsidDel="00000000" w:rsidR="00000000" w:rsidRPr="00000000">
        <w:rPr>
          <w:sz w:val="24"/>
          <w:szCs w:val="24"/>
          <w:rtl w:val="0"/>
        </w:rPr>
        <w:t xml:space="preserve">As a practical expedient, they can be recognized as an immediate expense if the amortization period would have been one year or less.  </w:t>
      </w:r>
    </w:p>
    <w:p w:rsidR="00000000" w:rsidDel="00000000" w:rsidP="00000000" w:rsidRDefault="00000000" w:rsidRPr="00000000" w14:paraId="000002BB">
      <w:pPr>
        <w:pStyle w:val="Heading3"/>
        <w:rPr/>
      </w:pPr>
      <w:bookmarkStart w:colFirst="0" w:colLast="0" w:name="_heading=h.70d9taqd55gp" w:id="41"/>
      <w:bookmarkEnd w:id="41"/>
      <w:r w:rsidDel="00000000" w:rsidR="00000000" w:rsidRPr="00000000">
        <w:rPr>
          <w:rtl w:val="0"/>
        </w:rPr>
        <w:t xml:space="preserve">Costs to fulfil a contract</w:t>
      </w:r>
    </w:p>
    <w:p w:rsidR="00000000" w:rsidDel="00000000" w:rsidP="00000000" w:rsidRDefault="00000000" w:rsidRPr="00000000" w14:paraId="000002BC">
      <w:pPr>
        <w:jc w:val="both"/>
        <w:rPr>
          <w:sz w:val="24"/>
          <w:szCs w:val="24"/>
        </w:rPr>
      </w:pPr>
      <w:r w:rsidDel="00000000" w:rsidR="00000000" w:rsidRPr="00000000">
        <w:rPr>
          <w:sz w:val="24"/>
          <w:szCs w:val="24"/>
          <w:rtl w:val="0"/>
        </w:rPr>
        <w:t xml:space="preserve">Costs are considered costs to fulfil a contract if all of the following criteria are met:</w:t>
      </w:r>
    </w:p>
    <w:p w:rsidR="00000000" w:rsidDel="00000000" w:rsidP="00000000" w:rsidRDefault="00000000" w:rsidRPr="00000000" w14:paraId="000002BD">
      <w:pPr>
        <w:numPr>
          <w:ilvl w:val="0"/>
          <w:numId w:val="26"/>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costs relate directly to a contract that can be specifically identified;</w:t>
      </w:r>
    </w:p>
    <w:p w:rsidR="00000000" w:rsidDel="00000000" w:rsidP="00000000" w:rsidRDefault="00000000" w:rsidRPr="00000000" w14:paraId="000002BE">
      <w:pPr>
        <w:numPr>
          <w:ilvl w:val="0"/>
          <w:numId w:val="26"/>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costs generate or enhance resources of the entity that will be used to satisfy performance obligations in future; and</w:t>
      </w:r>
    </w:p>
    <w:p w:rsidR="00000000" w:rsidDel="00000000" w:rsidP="00000000" w:rsidRDefault="00000000" w:rsidRPr="00000000" w14:paraId="000002BF">
      <w:pPr>
        <w:numPr>
          <w:ilvl w:val="0"/>
          <w:numId w:val="26"/>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The costs are expected to be recovered.</w:t>
      </w:r>
      <w:r w:rsidDel="00000000" w:rsidR="00000000" w:rsidRPr="00000000">
        <w:rPr>
          <w:rtl w:val="0"/>
        </w:rPr>
      </w:r>
    </w:p>
    <w:p w:rsidR="00000000" w:rsidDel="00000000" w:rsidP="00000000" w:rsidRDefault="00000000" w:rsidRPr="00000000" w14:paraId="000002C0">
      <w:pPr>
        <w:pBdr>
          <w:top w:space="0" w:sz="0" w:val="nil"/>
          <w:left w:space="0" w:sz="0" w:val="nil"/>
          <w:bottom w:space="0" w:sz="0" w:val="nil"/>
          <w:right w:space="0" w:sz="0" w:val="nil"/>
          <w:between w:space="0" w:sz="0" w:val="nil"/>
        </w:pBdr>
        <w:jc w:val="both"/>
        <w:rPr>
          <w:sz w:val="24"/>
          <w:szCs w:val="24"/>
        </w:rPr>
      </w:pPr>
      <w:r w:rsidDel="00000000" w:rsidR="00000000" w:rsidRPr="00000000">
        <w:rPr>
          <w:rtl w:val="0"/>
        </w:rPr>
      </w:r>
    </w:p>
    <w:p w:rsidR="00000000" w:rsidDel="00000000" w:rsidP="00000000" w:rsidRDefault="00000000" w:rsidRPr="00000000" w14:paraId="000002C1">
      <w:pPr>
        <w:pBdr>
          <w:top w:space="0" w:sz="0" w:val="nil"/>
          <w:left w:space="0" w:sz="0" w:val="nil"/>
          <w:bottom w:space="0" w:sz="0" w:val="nil"/>
          <w:right w:space="0" w:sz="0" w:val="nil"/>
          <w:between w:space="0" w:sz="0" w:val="nil"/>
        </w:pBdr>
        <w:jc w:val="both"/>
        <w:rPr>
          <w:sz w:val="24"/>
          <w:szCs w:val="24"/>
        </w:rPr>
      </w:pPr>
      <w:r w:rsidDel="00000000" w:rsidR="00000000" w:rsidRPr="00000000">
        <w:rPr>
          <w:rtl w:val="0"/>
        </w:rPr>
      </w:r>
    </w:p>
    <w:p w:rsidR="00000000" w:rsidDel="00000000" w:rsidP="00000000" w:rsidRDefault="00000000" w:rsidRPr="00000000" w14:paraId="000002C2">
      <w:pPr>
        <w:pBdr>
          <w:top w:space="0" w:sz="0" w:val="nil"/>
          <w:left w:space="0" w:sz="0" w:val="nil"/>
          <w:bottom w:space="0" w:sz="0" w:val="nil"/>
          <w:right w:space="0" w:sz="0" w:val="nil"/>
          <w:between w:space="0" w:sz="0" w:val="nil"/>
        </w:pBdr>
        <w:jc w:val="both"/>
        <w:rPr>
          <w:sz w:val="24"/>
          <w:szCs w:val="24"/>
        </w:rPr>
      </w:pPr>
      <w:r w:rsidDel="00000000" w:rsidR="00000000" w:rsidRPr="00000000">
        <w:rPr>
          <w:rtl w:val="0"/>
        </w:rPr>
      </w:r>
    </w:p>
    <w:p w:rsidR="00000000" w:rsidDel="00000000" w:rsidP="00000000" w:rsidRDefault="00000000" w:rsidRPr="00000000" w14:paraId="000002C3">
      <w:pPr>
        <w:pStyle w:val="Heading2"/>
        <w:numPr>
          <w:ilvl w:val="0"/>
          <w:numId w:val="32"/>
        </w:numPr>
        <w:ind w:left="1440" w:hanging="360"/>
        <w:rPr/>
      </w:pPr>
      <w:bookmarkStart w:colFirst="0" w:colLast="0" w:name="_heading=h.8fxbi7o43rnk" w:id="42"/>
      <w:bookmarkEnd w:id="42"/>
      <w:r w:rsidDel="00000000" w:rsidR="00000000" w:rsidRPr="00000000">
        <w:rPr>
          <w:rtl w:val="0"/>
        </w:rPr>
        <w:t xml:space="preserve">Warranties</w:t>
      </w:r>
    </w:p>
    <w:p w:rsidR="00000000" w:rsidDel="00000000" w:rsidP="00000000" w:rsidRDefault="00000000" w:rsidRPr="00000000" w14:paraId="000002C4">
      <w:pPr>
        <w:jc w:val="both"/>
        <w:rPr>
          <w:sz w:val="24"/>
          <w:szCs w:val="24"/>
        </w:rPr>
      </w:pPr>
      <w:r w:rsidDel="00000000" w:rsidR="00000000" w:rsidRPr="00000000">
        <w:rPr>
          <w:sz w:val="24"/>
          <w:szCs w:val="24"/>
          <w:rtl w:val="0"/>
        </w:rPr>
        <w:t xml:space="preserve">There are two types of warranties:</w:t>
      </w:r>
    </w:p>
    <w:p w:rsidR="00000000" w:rsidDel="00000000" w:rsidP="00000000" w:rsidRDefault="00000000" w:rsidRPr="00000000" w14:paraId="000002C5">
      <w:pPr>
        <w:numPr>
          <w:ilvl w:val="0"/>
          <w:numId w:val="8"/>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u w:val="single"/>
          <w:rtl w:val="0"/>
        </w:rPr>
        <w:t xml:space="preserve">Assurance-type warranties</w:t>
      </w:r>
      <w:r w:rsidDel="00000000" w:rsidR="00000000" w:rsidRPr="00000000">
        <w:rPr>
          <w:color w:val="000000"/>
          <w:sz w:val="24"/>
          <w:szCs w:val="24"/>
          <w:rtl w:val="0"/>
        </w:rPr>
        <w:t xml:space="preserve">: warranties that provide a customer with the assurance that the product will function as intended because it complies with agreed-upon specifications.  For these warranties a warranty provision is recognized against an operating expense</w:t>
      </w:r>
      <w:r w:rsidDel="00000000" w:rsidR="00000000" w:rsidRPr="00000000">
        <w:rPr>
          <w:i w:val="1"/>
          <w:iCs w:val="1"/>
          <w:color w:val="000000"/>
          <w:sz w:val="24"/>
          <w:szCs w:val="24"/>
          <w:rtl w:val="0"/>
        </w:rPr>
        <w:t xml:space="preserve">.</w:t>
      </w:r>
      <w:r w:rsidDel="00000000" w:rsidR="00000000" w:rsidRPr="00000000">
        <w:rPr>
          <w:rtl w:val="0"/>
        </w:rPr>
      </w:r>
    </w:p>
    <w:p w:rsidR="00000000" w:rsidDel="00000000" w:rsidP="00000000" w:rsidRDefault="00000000" w:rsidRPr="00000000" w14:paraId="000002C6">
      <w:pPr>
        <w:numPr>
          <w:ilvl w:val="0"/>
          <w:numId w:val="8"/>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u w:val="single"/>
          <w:rtl w:val="0"/>
        </w:rPr>
        <w:t xml:space="preserve">Service-type warranties</w:t>
      </w:r>
      <w:r w:rsidDel="00000000" w:rsidR="00000000" w:rsidRPr="00000000">
        <w:rPr>
          <w:color w:val="000000"/>
          <w:sz w:val="24"/>
          <w:szCs w:val="24"/>
          <w:rtl w:val="0"/>
        </w:rPr>
        <w:t xml:space="preserve">: warranties that provide the customer with a service in addition to the assurance that the product complies with agreed-upon specifications.  These “additional service” warranties are accounted for as a distinct performance obligation. In other words, in those cases, a portion of revenue from sale of goods is not recognized when the goods are sold, but is recognized over the term of the service-type warranty.</w:t>
      </w:r>
    </w:p>
    <w:p w:rsidR="00000000" w:rsidDel="00000000" w:rsidP="00000000" w:rsidRDefault="00000000" w:rsidRPr="00000000" w14:paraId="000002C7">
      <w:pPr>
        <w:pStyle w:val="Subtitle"/>
        <w:rPr/>
      </w:pPr>
      <w:r w:rsidDel="00000000" w:rsidR="00000000" w:rsidRPr="00000000">
        <w:rPr>
          <w:rtl w:val="0"/>
        </w:rPr>
        <w:t xml:space="preserve">Example</w:t>
      </w:r>
    </w:p>
    <w:p w:rsidR="00000000" w:rsidDel="00000000" w:rsidP="00000000" w:rsidRDefault="00000000" w:rsidRPr="00000000" w14:paraId="000002C8">
      <w:pPr>
        <w:jc w:val="both"/>
        <w:rPr>
          <w:sz w:val="24"/>
          <w:szCs w:val="24"/>
        </w:rPr>
      </w:pPr>
      <w:r w:rsidDel="00000000" w:rsidR="00000000" w:rsidRPr="00000000">
        <w:rPr>
          <w:sz w:val="24"/>
          <w:szCs w:val="24"/>
          <w:rtl w:val="0"/>
        </w:rPr>
        <w:t xml:space="preserve">An entity manufactures and sells computers that include an assurance-type warranty for the first 90 days.  The entity also offers an optional “extended coverage” plan under which it will repair or replace any defective part for 3 years from the expiration of the assurance-type warranty.  This optional extended coverage plan is sold separately and represents a separate performance obligation.</w:t>
      </w:r>
    </w:p>
    <w:p w:rsidR="00000000" w:rsidDel="00000000" w:rsidP="00000000" w:rsidRDefault="00000000" w:rsidRPr="00000000" w14:paraId="000002C9">
      <w:pPr>
        <w:spacing w:after="0" w:lineRule="auto"/>
        <w:jc w:val="both"/>
        <w:rPr>
          <w:sz w:val="24"/>
          <w:szCs w:val="24"/>
        </w:rPr>
      </w:pPr>
      <w:r w:rsidDel="00000000" w:rsidR="00000000" w:rsidRPr="00000000">
        <w:rPr>
          <w:sz w:val="24"/>
          <w:szCs w:val="24"/>
          <w:rtl w:val="0"/>
        </w:rPr>
        <w:t xml:space="preserve">Transaction price: 3 600 €</w:t>
      </w:r>
    </w:p>
    <w:p w:rsidR="00000000" w:rsidDel="00000000" w:rsidP="00000000" w:rsidRDefault="00000000" w:rsidRPr="00000000" w14:paraId="000002CA">
      <w:pPr>
        <w:spacing w:after="0" w:lineRule="auto"/>
        <w:jc w:val="both"/>
        <w:rPr>
          <w:sz w:val="24"/>
          <w:szCs w:val="24"/>
        </w:rPr>
      </w:pPr>
      <w:r w:rsidDel="00000000" w:rsidR="00000000" w:rsidRPr="00000000">
        <w:rPr>
          <w:sz w:val="24"/>
          <w:szCs w:val="24"/>
          <w:rtl w:val="0"/>
        </w:rPr>
        <w:t xml:space="preserve">Stand-alone selling price of the computer: 3 200 €</w:t>
      </w:r>
    </w:p>
    <w:p w:rsidR="00000000" w:rsidDel="00000000" w:rsidP="00000000" w:rsidRDefault="00000000" w:rsidRPr="00000000" w14:paraId="000002CB">
      <w:pPr>
        <w:spacing w:after="0" w:lineRule="auto"/>
        <w:jc w:val="both"/>
        <w:rPr>
          <w:sz w:val="24"/>
          <w:szCs w:val="24"/>
        </w:rPr>
      </w:pPr>
      <w:r w:rsidDel="00000000" w:rsidR="00000000" w:rsidRPr="00000000">
        <w:rPr>
          <w:sz w:val="24"/>
          <w:szCs w:val="24"/>
          <w:rtl w:val="0"/>
        </w:rPr>
        <w:t xml:space="preserve">Stand-alone selling price of the extended warranty: 400 €</w:t>
      </w:r>
    </w:p>
    <w:p w:rsidR="00000000" w:rsidDel="00000000" w:rsidP="00000000" w:rsidRDefault="00000000" w:rsidRPr="00000000" w14:paraId="000002CC">
      <w:pPr>
        <w:spacing w:after="0" w:lineRule="auto"/>
        <w:jc w:val="both"/>
        <w:rPr>
          <w:sz w:val="24"/>
          <w:szCs w:val="24"/>
        </w:rPr>
      </w:pPr>
      <w:r w:rsidDel="00000000" w:rsidR="00000000" w:rsidRPr="00000000">
        <w:rPr>
          <w:sz w:val="24"/>
          <w:szCs w:val="24"/>
          <w:rtl w:val="0"/>
        </w:rPr>
        <w:t xml:space="preserve">Inventory value of the computer: 1 500 €</w:t>
      </w:r>
    </w:p>
    <w:p w:rsidR="00000000" w:rsidDel="00000000" w:rsidP="00000000" w:rsidRDefault="00000000" w:rsidRPr="00000000" w14:paraId="000002CD">
      <w:pPr>
        <w:spacing w:after="0" w:lineRule="auto"/>
        <w:jc w:val="both"/>
        <w:rPr>
          <w:sz w:val="24"/>
          <w:szCs w:val="24"/>
        </w:rPr>
      </w:pPr>
      <w:r w:rsidDel="00000000" w:rsidR="00000000" w:rsidRPr="00000000">
        <w:rPr>
          <w:sz w:val="24"/>
          <w:szCs w:val="24"/>
          <w:rtl w:val="0"/>
        </w:rPr>
        <w:t xml:space="preserve">Costs estimate for defects arising within the 90-day coverage period: 200 €</w:t>
      </w:r>
    </w:p>
    <w:p w:rsidR="00000000" w:rsidDel="00000000" w:rsidP="00000000" w:rsidRDefault="00000000" w:rsidRPr="00000000" w14:paraId="000002CE">
      <w:pPr>
        <w:spacing w:after="0" w:lineRule="auto"/>
        <w:jc w:val="both"/>
        <w:rPr>
          <w:sz w:val="24"/>
          <w:szCs w:val="24"/>
        </w:rPr>
      </w:pPr>
      <w:r w:rsidDel="00000000" w:rsidR="00000000" w:rsidRPr="00000000">
        <w:rPr>
          <w:sz w:val="24"/>
          <w:szCs w:val="24"/>
        </w:rPr>
        <w:drawing>
          <wp:inline distB="0" distT="0" distL="0" distR="0">
            <wp:extent cx="4081965" cy="1275018"/>
            <wp:effectExtent b="0" l="0" r="0" t="0"/>
            <wp:docPr id="2058"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4081965" cy="1275018"/>
                    </a:xfrm>
                    <a:prstGeom prst="rect"/>
                    <a:ln/>
                  </pic:spPr>
                </pic:pic>
              </a:graphicData>
            </a:graphic>
          </wp:inline>
        </w:drawing>
      </w:r>
      <w:r w:rsidDel="00000000" w:rsidR="00000000" w:rsidRPr="00000000">
        <w:rPr>
          <w:rtl w:val="0"/>
        </w:rPr>
      </w:r>
    </w:p>
    <w:p w:rsidR="00000000" w:rsidDel="00000000" w:rsidP="00000000" w:rsidRDefault="00000000" w:rsidRPr="00000000" w14:paraId="000002CF">
      <w:pPr>
        <w:pBdr>
          <w:top w:space="0" w:sz="0" w:val="nil"/>
          <w:left w:space="0" w:sz="0" w:val="nil"/>
          <w:bottom w:space="0" w:sz="0" w:val="nil"/>
          <w:right w:space="0" w:sz="0" w:val="nil"/>
          <w:between w:space="0" w:sz="0" w:val="nil"/>
        </w:pBdr>
        <w:ind w:left="720" w:firstLine="0"/>
        <w:jc w:val="both"/>
        <w:rPr>
          <w:color w:val="000000"/>
          <w:sz w:val="24"/>
          <w:szCs w:val="24"/>
        </w:rPr>
      </w:pPr>
      <w:r w:rsidDel="00000000" w:rsidR="00000000" w:rsidRPr="00000000">
        <w:rPr>
          <w:rtl w:val="0"/>
        </w:rPr>
      </w:r>
    </w:p>
    <w:p w:rsidR="00000000" w:rsidDel="00000000" w:rsidP="00000000" w:rsidRDefault="00000000" w:rsidRPr="00000000" w14:paraId="000002D0">
      <w:pPr>
        <w:pStyle w:val="Heading2"/>
        <w:numPr>
          <w:ilvl w:val="0"/>
          <w:numId w:val="32"/>
        </w:numPr>
        <w:ind w:left="1440" w:hanging="360"/>
        <w:rPr>
          <w:sz w:val="24"/>
          <w:szCs w:val="24"/>
        </w:rPr>
      </w:pPr>
      <w:bookmarkStart w:colFirst="0" w:colLast="0" w:name="_heading=h.7b3s1akos3lg" w:id="43"/>
      <w:bookmarkEnd w:id="43"/>
      <w:r w:rsidDel="00000000" w:rsidR="00000000" w:rsidRPr="00000000">
        <w:rPr>
          <w:rtl w:val="0"/>
        </w:rPr>
        <w:t xml:space="preserve">Consignment arrangements</w:t>
      </w:r>
      <w:r w:rsidDel="00000000" w:rsidR="00000000" w:rsidRPr="00000000">
        <w:rPr>
          <w:rtl w:val="0"/>
        </w:rPr>
      </w:r>
    </w:p>
    <w:p w:rsidR="00000000" w:rsidDel="00000000" w:rsidP="00000000" w:rsidRDefault="00000000" w:rsidRPr="00000000" w14:paraId="000002D1">
      <w:pPr>
        <w:pBdr>
          <w:top w:space="0" w:sz="0" w:val="nil"/>
          <w:left w:space="0" w:sz="0" w:val="nil"/>
          <w:bottom w:space="0" w:sz="0" w:val="nil"/>
          <w:right w:space="0" w:sz="0" w:val="nil"/>
          <w:between w:space="0" w:sz="0" w:val="nil"/>
        </w:pBdr>
        <w:spacing w:after="0" w:lineRule="auto"/>
        <w:jc w:val="both"/>
        <w:rPr>
          <w:color w:val="000000"/>
          <w:sz w:val="24"/>
          <w:szCs w:val="24"/>
        </w:rPr>
      </w:pPr>
      <w:r w:rsidDel="00000000" w:rsidR="00000000" w:rsidRPr="00000000">
        <w:rPr>
          <w:color w:val="000000"/>
          <w:sz w:val="24"/>
          <w:szCs w:val="24"/>
          <w:rtl w:val="0"/>
        </w:rPr>
        <w:t xml:space="preserve">Consignment inventory consists of goods located at the customer’s premises, that will be billed to the customer at a later point in time, which generally is when he physically withdraws the inventory items for use in his production process or for resale. In practice contracts are written contracts, or purchase orders.</w:t>
      </w:r>
    </w:p>
    <w:p w:rsidR="00000000" w:rsidDel="00000000" w:rsidP="00000000" w:rsidRDefault="00000000" w:rsidRPr="00000000" w14:paraId="000002D2">
      <w:pPr>
        <w:pBdr>
          <w:top w:space="0" w:sz="0" w:val="nil"/>
          <w:left w:space="0" w:sz="0" w:val="nil"/>
          <w:bottom w:space="0" w:sz="0" w:val="nil"/>
          <w:right w:space="0" w:sz="0" w:val="nil"/>
          <w:between w:space="0" w:sz="0" w:val="nil"/>
        </w:pBdr>
        <w:jc w:val="both"/>
        <w:rPr>
          <w:color w:val="000000"/>
          <w:sz w:val="24"/>
          <w:szCs w:val="24"/>
        </w:rPr>
      </w:pPr>
      <w:r w:rsidDel="00000000" w:rsidR="00000000" w:rsidRPr="00000000">
        <w:rPr>
          <w:color w:val="000000"/>
          <w:sz w:val="24"/>
          <w:szCs w:val="24"/>
          <w:rtl w:val="0"/>
        </w:rPr>
        <w:t xml:space="preserve">Revenue from sale of consignment inventory items shall be recognized at the moment the customer has obtained control over the goods.  We have identified several indicators to consider in determining whether control over goods delivered to a customer have passed to the customer.</w:t>
      </w:r>
    </w:p>
    <w:tbl>
      <w:tblPr>
        <w:tblStyle w:val="Table20"/>
        <w:tblW w:w="9386.0" w:type="dxa"/>
        <w:jc w:val="left"/>
        <w:tblBorders>
          <w:top w:color="78c0d4" w:space="0" w:sz="8" w:val="single"/>
          <w:left w:color="78c0d4" w:space="0" w:sz="8" w:val="single"/>
          <w:bottom w:color="78c0d4" w:space="0" w:sz="8" w:val="single"/>
          <w:right w:color="78c0d4" w:space="0" w:sz="8" w:val="single"/>
          <w:insideH w:color="78c0d4" w:space="0" w:sz="8" w:val="single"/>
          <w:insideV w:color="000000" w:space="0" w:sz="4" w:val="single"/>
        </w:tblBorders>
        <w:tblLayout w:type="fixed"/>
        <w:tblLook w:val="04A0"/>
      </w:tblPr>
      <w:tblGrid>
        <w:gridCol w:w="4689"/>
        <w:gridCol w:w="4697"/>
        <w:tblGridChange w:id="0">
          <w:tblGrid>
            <w:gridCol w:w="4689"/>
            <w:gridCol w:w="4697"/>
          </w:tblGrid>
        </w:tblGridChange>
      </w:tblGrid>
      <w:tr>
        <w:trPr>
          <w:cantSplit w:val="0"/>
          <w:tblHeader w:val="1"/>
        </w:trPr>
        <w:tc>
          <w:tcPr/>
          <w:p w:rsidR="00000000" w:rsidDel="00000000" w:rsidP="00000000" w:rsidRDefault="00000000" w:rsidRPr="00000000" w14:paraId="000002D3">
            <w:pPr>
              <w:widowControl w:val="0"/>
              <w:spacing w:after="240" w:lineRule="auto"/>
              <w:jc w:val="both"/>
              <w:rPr/>
            </w:pPr>
            <w:r w:rsidDel="00000000" w:rsidR="00000000" w:rsidRPr="00000000">
              <w:rPr>
                <w:rtl w:val="0"/>
              </w:rPr>
              <w:t xml:space="preserve">Indicators </w:t>
            </w:r>
          </w:p>
        </w:tc>
        <w:tc>
          <w:tcPr/>
          <w:p w:rsidR="00000000" w:rsidDel="00000000" w:rsidP="00000000" w:rsidRDefault="00000000" w:rsidRPr="00000000" w14:paraId="000002D4">
            <w:pPr>
              <w:widowControl w:val="0"/>
              <w:spacing w:after="240" w:lineRule="auto"/>
              <w:jc w:val="both"/>
              <w:rPr/>
            </w:pPr>
            <w:r w:rsidDel="00000000" w:rsidR="00000000" w:rsidRPr="00000000">
              <w:rPr>
                <w:rtl w:val="0"/>
              </w:rPr>
              <w:t xml:space="preserve">Description of indicator</w:t>
            </w:r>
          </w:p>
        </w:tc>
      </w:tr>
      <w:tr>
        <w:trPr>
          <w:cantSplit w:val="0"/>
          <w:tblHeader w:val="0"/>
        </w:trPr>
        <w:tc>
          <w:tcPr/>
          <w:p w:rsidR="00000000" w:rsidDel="00000000" w:rsidP="00000000" w:rsidRDefault="00000000" w:rsidRPr="00000000" w14:paraId="000002D5">
            <w:pPr>
              <w:widowControl w:val="0"/>
              <w:spacing w:after="240" w:lineRule="auto"/>
              <w:jc w:val="both"/>
              <w:rPr/>
            </w:pPr>
            <w:r w:rsidDel="00000000" w:rsidR="00000000" w:rsidRPr="00000000">
              <w:rPr>
                <w:rtl w:val="0"/>
              </w:rPr>
              <w:t xml:space="preserve">Syensqo’s right of return or right to use goods, irrespective of customer’s actions including event of default</w:t>
            </w:r>
          </w:p>
        </w:tc>
        <w:tc>
          <w:tcPr/>
          <w:p w:rsidR="00000000" w:rsidDel="00000000" w:rsidP="00000000" w:rsidRDefault="00000000" w:rsidRPr="00000000" w14:paraId="000002D6">
            <w:pPr>
              <w:widowControl w:val="0"/>
              <w:spacing w:after="240" w:lineRule="auto"/>
              <w:jc w:val="both"/>
              <w:rPr/>
            </w:pPr>
            <w:r w:rsidDel="00000000" w:rsidR="00000000" w:rsidRPr="00000000">
              <w:rPr>
                <w:rtl w:val="0"/>
              </w:rPr>
              <w:t xml:space="preserve">During the term of the agreement, Syensqo does not have the right to request goods to be returned back, and is not allowed to use goods (eg for another customer) and replenish inventory at consignment location</w:t>
            </w:r>
          </w:p>
        </w:tc>
      </w:tr>
      <w:tr>
        <w:trPr>
          <w:cantSplit w:val="0"/>
          <w:tblHeader w:val="0"/>
        </w:trPr>
        <w:tc>
          <w:tcPr/>
          <w:p w:rsidR="00000000" w:rsidDel="00000000" w:rsidP="00000000" w:rsidRDefault="00000000" w:rsidRPr="00000000" w14:paraId="000002D7">
            <w:pPr>
              <w:widowControl w:val="0"/>
              <w:spacing w:after="240" w:lineRule="auto"/>
              <w:jc w:val="both"/>
              <w:rPr/>
            </w:pPr>
            <w:r w:rsidDel="00000000" w:rsidR="00000000" w:rsidRPr="00000000">
              <w:rPr>
                <w:rtl w:val="0"/>
              </w:rPr>
              <w:t xml:space="preserve">Customer’s right of return</w:t>
            </w:r>
          </w:p>
        </w:tc>
        <w:tc>
          <w:tcPr/>
          <w:p w:rsidR="00000000" w:rsidDel="00000000" w:rsidP="00000000" w:rsidRDefault="00000000" w:rsidRPr="00000000" w14:paraId="000002D8">
            <w:pPr>
              <w:widowControl w:val="0"/>
              <w:spacing w:after="240" w:lineRule="auto"/>
              <w:jc w:val="both"/>
              <w:rPr/>
            </w:pPr>
            <w:r w:rsidDel="00000000" w:rsidR="00000000" w:rsidRPr="00000000">
              <w:rPr>
                <w:rtl w:val="0"/>
              </w:rPr>
              <w:t xml:space="preserve">Customer does not have the right to return the goods during the term of the agreement</w:t>
            </w:r>
          </w:p>
        </w:tc>
      </w:tr>
      <w:tr>
        <w:trPr>
          <w:cantSplit w:val="0"/>
          <w:tblHeader w:val="0"/>
        </w:trPr>
        <w:tc>
          <w:tcPr/>
          <w:p w:rsidR="00000000" w:rsidDel="00000000" w:rsidP="00000000" w:rsidRDefault="00000000" w:rsidRPr="00000000" w14:paraId="000002D9">
            <w:pPr>
              <w:widowControl w:val="0"/>
              <w:spacing w:after="240" w:lineRule="auto"/>
              <w:jc w:val="both"/>
              <w:rPr/>
            </w:pPr>
            <w:r w:rsidDel="00000000" w:rsidR="00000000" w:rsidRPr="00000000">
              <w:rPr>
                <w:rtl w:val="0"/>
              </w:rPr>
              <w:t xml:space="preserve">Syensqo’s present right to invoice</w:t>
            </w:r>
          </w:p>
        </w:tc>
        <w:tc>
          <w:tcPr/>
          <w:p w:rsidR="00000000" w:rsidDel="00000000" w:rsidP="00000000" w:rsidRDefault="00000000" w:rsidRPr="00000000" w14:paraId="000002DA">
            <w:pPr>
              <w:widowControl w:val="0"/>
              <w:spacing w:after="240" w:lineRule="auto"/>
              <w:jc w:val="both"/>
              <w:rPr/>
            </w:pPr>
            <w:r w:rsidDel="00000000" w:rsidR="00000000" w:rsidRPr="00000000">
              <w:rPr>
                <w:rtl w:val="0"/>
              </w:rPr>
              <w:t xml:space="preserve">Syensqo has right to invoice for quantities delivered to the customer’s premises because Syensqo has the right to invoice: (a) when the goods are delivered, (b) when the goods are withdrawn from warehouse, or (c) after 30/60/90/120/xx days after delivery in case goods have not been withdrawn by customer at that time</w:t>
            </w:r>
          </w:p>
        </w:tc>
      </w:tr>
      <w:tr>
        <w:trPr>
          <w:cantSplit w:val="0"/>
          <w:tblHeader w:val="0"/>
        </w:trPr>
        <w:tc>
          <w:tcPr/>
          <w:p w:rsidR="00000000" w:rsidDel="00000000" w:rsidP="00000000" w:rsidRDefault="00000000" w:rsidRPr="00000000" w14:paraId="000002DB">
            <w:pPr>
              <w:widowControl w:val="0"/>
              <w:spacing w:after="240" w:lineRule="auto"/>
              <w:jc w:val="both"/>
              <w:rPr/>
            </w:pPr>
            <w:r w:rsidDel="00000000" w:rsidR="00000000" w:rsidRPr="00000000">
              <w:rPr>
                <w:rtl w:val="0"/>
              </w:rPr>
              <w:t xml:space="preserve">Termination conditions</w:t>
            </w:r>
          </w:p>
        </w:tc>
        <w:tc>
          <w:tcPr/>
          <w:p w:rsidR="00000000" w:rsidDel="00000000" w:rsidP="00000000" w:rsidRDefault="00000000" w:rsidRPr="00000000" w14:paraId="000002DC">
            <w:pPr>
              <w:widowControl w:val="0"/>
              <w:spacing w:after="240" w:lineRule="auto"/>
              <w:jc w:val="both"/>
              <w:rPr/>
            </w:pPr>
            <w:r w:rsidDel="00000000" w:rsidR="00000000" w:rsidRPr="00000000">
              <w:rPr>
                <w:rtl w:val="0"/>
              </w:rPr>
              <w:t xml:space="preserve">In case of termination of the agreement with customer, consignment inventory may not be returned back to Syensqo, and may have to be purchased by the customer</w:t>
            </w:r>
          </w:p>
        </w:tc>
      </w:tr>
      <w:tr>
        <w:trPr>
          <w:cantSplit w:val="0"/>
          <w:tblHeader w:val="0"/>
        </w:trPr>
        <w:tc>
          <w:tcPr/>
          <w:p w:rsidR="00000000" w:rsidDel="00000000" w:rsidP="00000000" w:rsidRDefault="00000000" w:rsidRPr="00000000" w14:paraId="000002DD">
            <w:pPr>
              <w:widowControl w:val="0"/>
              <w:spacing w:after="240" w:lineRule="auto"/>
              <w:jc w:val="both"/>
              <w:rPr/>
            </w:pPr>
            <w:r w:rsidDel="00000000" w:rsidR="00000000" w:rsidRPr="00000000">
              <w:rPr>
                <w:rtl w:val="0"/>
              </w:rPr>
              <w:t xml:space="preserve">Risk of price change</w:t>
            </w:r>
          </w:p>
        </w:tc>
        <w:tc>
          <w:tcPr/>
          <w:p w:rsidR="00000000" w:rsidDel="00000000" w:rsidP="00000000" w:rsidRDefault="00000000" w:rsidRPr="00000000" w14:paraId="000002DE">
            <w:pPr>
              <w:widowControl w:val="0"/>
              <w:spacing w:after="240" w:lineRule="auto"/>
              <w:jc w:val="both"/>
              <w:rPr/>
            </w:pPr>
            <w:r w:rsidDel="00000000" w:rsidR="00000000" w:rsidRPr="00000000">
              <w:rPr>
                <w:rtl w:val="0"/>
              </w:rPr>
              <w:t xml:space="preserve">Syensqo does not bear the risk of price change during the storage period</w:t>
            </w:r>
          </w:p>
        </w:tc>
      </w:tr>
      <w:tr>
        <w:trPr>
          <w:cantSplit w:val="0"/>
          <w:tblHeader w:val="0"/>
        </w:trPr>
        <w:tc>
          <w:tcPr/>
          <w:p w:rsidR="00000000" w:rsidDel="00000000" w:rsidP="00000000" w:rsidRDefault="00000000" w:rsidRPr="00000000" w14:paraId="000002DF">
            <w:pPr>
              <w:widowControl w:val="0"/>
              <w:spacing w:after="240" w:lineRule="auto"/>
              <w:jc w:val="both"/>
              <w:rPr/>
            </w:pPr>
            <w:r w:rsidDel="00000000" w:rsidR="00000000" w:rsidRPr="00000000">
              <w:rPr>
                <w:rtl w:val="0"/>
              </w:rPr>
              <w:t xml:space="preserve">Risk of deterioration of value</w:t>
            </w:r>
          </w:p>
        </w:tc>
        <w:tc>
          <w:tcPr/>
          <w:p w:rsidR="00000000" w:rsidDel="00000000" w:rsidP="00000000" w:rsidRDefault="00000000" w:rsidRPr="00000000" w14:paraId="000002E0">
            <w:pPr>
              <w:widowControl w:val="0"/>
              <w:spacing w:after="240" w:lineRule="auto"/>
              <w:jc w:val="both"/>
              <w:rPr/>
            </w:pPr>
            <w:r w:rsidDel="00000000" w:rsidR="00000000" w:rsidRPr="00000000">
              <w:rPr>
                <w:rtl w:val="0"/>
              </w:rPr>
              <w:t xml:space="preserve">The customer bears the risk of loss, theft or damage as soon as goods have been duly received and are located in the warehouse</w:t>
            </w:r>
          </w:p>
        </w:tc>
      </w:tr>
      <w:tr>
        <w:trPr>
          <w:cantSplit w:val="0"/>
          <w:tblHeader w:val="0"/>
        </w:trPr>
        <w:tc>
          <w:tcPr/>
          <w:p w:rsidR="00000000" w:rsidDel="00000000" w:rsidP="00000000" w:rsidRDefault="00000000" w:rsidRPr="00000000" w14:paraId="000002E1">
            <w:pPr>
              <w:widowControl w:val="0"/>
              <w:spacing w:after="240" w:lineRule="auto"/>
              <w:jc w:val="both"/>
              <w:rPr/>
            </w:pPr>
            <w:r w:rsidDel="00000000" w:rsidR="00000000" w:rsidRPr="00000000">
              <w:rPr>
                <w:rtl w:val="0"/>
              </w:rPr>
              <w:t xml:space="preserve">Legal title</w:t>
            </w:r>
          </w:p>
        </w:tc>
        <w:tc>
          <w:tcPr/>
          <w:p w:rsidR="00000000" w:rsidDel="00000000" w:rsidP="00000000" w:rsidRDefault="00000000" w:rsidRPr="00000000" w14:paraId="000002E2">
            <w:pPr>
              <w:widowControl w:val="0"/>
              <w:spacing w:after="240" w:lineRule="auto"/>
              <w:jc w:val="both"/>
              <w:rPr/>
            </w:pPr>
            <w:r w:rsidDel="00000000" w:rsidR="00000000" w:rsidRPr="00000000">
              <w:rPr>
                <w:rtl w:val="0"/>
              </w:rPr>
              <w:t xml:space="preserve">The customer becomes the legal owner of the goods once delivered to his warehouse</w:t>
            </w:r>
          </w:p>
        </w:tc>
      </w:tr>
      <w:tr>
        <w:trPr>
          <w:cantSplit w:val="0"/>
          <w:tblHeader w:val="0"/>
        </w:trPr>
        <w:tc>
          <w:tcPr/>
          <w:p w:rsidR="00000000" w:rsidDel="00000000" w:rsidP="00000000" w:rsidRDefault="00000000" w:rsidRPr="00000000" w14:paraId="000002E3">
            <w:pPr>
              <w:widowControl w:val="0"/>
              <w:spacing w:after="240" w:lineRule="auto"/>
              <w:jc w:val="both"/>
              <w:rPr/>
            </w:pPr>
            <w:r w:rsidDel="00000000" w:rsidR="00000000" w:rsidRPr="00000000">
              <w:rPr>
                <w:rtl w:val="0"/>
              </w:rPr>
              <w:t xml:space="preserve">Acceptance</w:t>
            </w:r>
          </w:p>
        </w:tc>
        <w:tc>
          <w:tcPr/>
          <w:p w:rsidR="00000000" w:rsidDel="00000000" w:rsidP="00000000" w:rsidRDefault="00000000" w:rsidRPr="00000000" w14:paraId="000002E4">
            <w:pPr>
              <w:widowControl w:val="0"/>
              <w:spacing w:after="240" w:lineRule="auto"/>
              <w:jc w:val="both"/>
              <w:rPr/>
            </w:pPr>
            <w:r w:rsidDel="00000000" w:rsidR="00000000" w:rsidRPr="00000000">
              <w:rPr>
                <w:rtl w:val="0"/>
              </w:rPr>
              <w:t xml:space="preserve">Customer cannot send back goods damaged during storage period</w:t>
            </w:r>
          </w:p>
        </w:tc>
      </w:tr>
      <w:tr>
        <w:trPr>
          <w:cantSplit w:val="0"/>
          <w:tblHeader w:val="0"/>
        </w:trPr>
        <w:tc>
          <w:tcPr/>
          <w:p w:rsidR="00000000" w:rsidDel="00000000" w:rsidP="00000000" w:rsidRDefault="00000000" w:rsidRPr="00000000" w14:paraId="000002E5">
            <w:pPr>
              <w:widowControl w:val="0"/>
              <w:spacing w:after="240" w:lineRule="auto"/>
              <w:jc w:val="both"/>
              <w:rPr/>
            </w:pPr>
            <w:r w:rsidDel="00000000" w:rsidR="00000000" w:rsidRPr="00000000">
              <w:rPr>
                <w:rtl w:val="0"/>
              </w:rPr>
              <w:t xml:space="preserve">Maximum stock levels</w:t>
            </w:r>
          </w:p>
        </w:tc>
        <w:tc>
          <w:tcPr/>
          <w:p w:rsidR="00000000" w:rsidDel="00000000" w:rsidP="00000000" w:rsidRDefault="00000000" w:rsidRPr="00000000" w14:paraId="000002E6">
            <w:pPr>
              <w:widowControl w:val="0"/>
              <w:spacing w:after="240" w:lineRule="auto"/>
              <w:jc w:val="both"/>
              <w:rPr/>
            </w:pPr>
            <w:r w:rsidDel="00000000" w:rsidR="00000000" w:rsidRPr="00000000">
              <w:rPr>
                <w:rtl w:val="0"/>
              </w:rPr>
              <w:t xml:space="preserve">Over-delivery by Syensqo is not allowed</w:t>
            </w:r>
          </w:p>
        </w:tc>
      </w:tr>
    </w:tbl>
    <w:p w:rsidR="00000000" w:rsidDel="00000000" w:rsidP="00000000" w:rsidRDefault="00000000" w:rsidRPr="00000000" w14:paraId="000002E7">
      <w:pPr>
        <w:pBdr>
          <w:top w:space="0" w:sz="0" w:val="nil"/>
          <w:left w:space="0" w:sz="0" w:val="nil"/>
          <w:bottom w:space="0" w:sz="0" w:val="nil"/>
          <w:right w:space="0" w:sz="0" w:val="nil"/>
          <w:between w:space="0" w:sz="0" w:val="nil"/>
        </w:pBdr>
        <w:jc w:val="both"/>
        <w:rPr>
          <w:color w:val="000000"/>
          <w:sz w:val="24"/>
          <w:szCs w:val="24"/>
        </w:rPr>
      </w:pPr>
      <w:r w:rsidDel="00000000" w:rsidR="00000000" w:rsidRPr="00000000">
        <w:rPr>
          <w:rtl w:val="0"/>
        </w:rPr>
      </w:r>
    </w:p>
    <w:p w:rsidR="00000000" w:rsidDel="00000000" w:rsidP="00000000" w:rsidRDefault="00000000" w:rsidRPr="00000000" w14:paraId="000002E8">
      <w:pPr>
        <w:jc w:val="both"/>
        <w:rPr>
          <w:sz w:val="24"/>
          <w:szCs w:val="24"/>
        </w:rPr>
      </w:pPr>
      <w:r w:rsidDel="00000000" w:rsidR="00000000" w:rsidRPr="00000000">
        <w:rPr>
          <w:sz w:val="24"/>
          <w:szCs w:val="24"/>
          <w:rtl w:val="0"/>
        </w:rPr>
        <w:t xml:space="preserve">It is very unlikely that indicators listed above will all lead to the same conclusion.  Moreover, the information about some indicators is not necessarily available in the contract.  Therefore, the indicators listed above appear in order of importance. Indicators evidenced in bold are key in order to assess at what moment control over goods has passed to the customer. </w:t>
      </w:r>
    </w:p>
    <w:p w:rsidR="00000000" w:rsidDel="00000000" w:rsidP="00000000" w:rsidRDefault="00000000" w:rsidRPr="00000000" w14:paraId="000002E9">
      <w:pPr>
        <w:jc w:val="both"/>
        <w:rPr>
          <w:sz w:val="24"/>
          <w:szCs w:val="24"/>
        </w:rPr>
      </w:pPr>
      <w:r w:rsidDel="00000000" w:rsidR="00000000" w:rsidRPr="00000000">
        <w:rPr>
          <w:sz w:val="24"/>
          <w:szCs w:val="24"/>
          <w:rtl w:val="0"/>
        </w:rPr>
        <w:t xml:space="preserve">Specific case: Syensqo’s right to payment is effective after 30/60/90/120/xx days after delivery if goods have not been withdrawn by customer at that time, and</w:t>
      </w:r>
    </w:p>
    <w:p w:rsidR="00000000" w:rsidDel="00000000" w:rsidP="00000000" w:rsidRDefault="00000000" w:rsidRPr="00000000" w14:paraId="000002EA">
      <w:pPr>
        <w:widowControl w:val="0"/>
        <w:numPr>
          <w:ilvl w:val="0"/>
          <w:numId w:val="13"/>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customer has no right to return the goods during the period between delivery and </w:t>
      </w:r>
      <w:r w:rsidDel="00000000" w:rsidR="00000000" w:rsidRPr="00000000">
        <w:rPr>
          <w:sz w:val="24"/>
          <w:szCs w:val="24"/>
          <w:rtl w:val="0"/>
        </w:rPr>
        <w:t xml:space="preserve">Syensqo</w:t>
      </w:r>
      <w:r w:rsidDel="00000000" w:rsidR="00000000" w:rsidRPr="00000000">
        <w:rPr>
          <w:color w:val="000000"/>
          <w:sz w:val="24"/>
          <w:szCs w:val="24"/>
          <w:rtl w:val="0"/>
        </w:rPr>
        <w:t xml:space="preserve">’s right to payment: indicative of fact that the control is transferred at moment of delivery;</w:t>
      </w:r>
    </w:p>
    <w:p w:rsidR="00000000" w:rsidDel="00000000" w:rsidP="00000000" w:rsidRDefault="00000000" w:rsidRPr="00000000" w14:paraId="000002EB">
      <w:pPr>
        <w:widowControl w:val="0"/>
        <w:numPr>
          <w:ilvl w:val="0"/>
          <w:numId w:val="13"/>
        </w:numPr>
        <w:pBdr>
          <w:top w:space="0" w:sz="0" w:val="nil"/>
          <w:left w:space="0" w:sz="0" w:val="nil"/>
          <w:bottom w:space="0" w:sz="0" w:val="nil"/>
          <w:right w:space="0" w:sz="0" w:val="nil"/>
          <w:between w:space="0" w:sz="0" w:val="nil"/>
        </w:pBdr>
        <w:spacing w:after="240" w:lineRule="auto"/>
        <w:ind w:left="360" w:hanging="360"/>
        <w:jc w:val="both"/>
        <w:rPr>
          <w:color w:val="000000"/>
          <w:sz w:val="24"/>
          <w:szCs w:val="24"/>
        </w:rPr>
      </w:pPr>
      <w:r w:rsidDel="00000000" w:rsidR="00000000" w:rsidRPr="00000000">
        <w:rPr>
          <w:color w:val="000000"/>
          <w:sz w:val="24"/>
          <w:szCs w:val="24"/>
          <w:rtl w:val="0"/>
        </w:rPr>
        <w:t xml:space="preserve">the customer has the right to return the goods during this period: indicative of fact that the control is transferred only when </w:t>
      </w:r>
      <w:r w:rsidDel="00000000" w:rsidR="00000000" w:rsidRPr="00000000">
        <w:rPr>
          <w:sz w:val="24"/>
          <w:szCs w:val="24"/>
          <w:rtl w:val="0"/>
        </w:rPr>
        <w:t xml:space="preserve">Syensqo</w:t>
      </w:r>
      <w:r w:rsidDel="00000000" w:rsidR="00000000" w:rsidRPr="00000000">
        <w:rPr>
          <w:color w:val="000000"/>
          <w:sz w:val="24"/>
          <w:szCs w:val="24"/>
          <w:rtl w:val="0"/>
        </w:rPr>
        <w:t xml:space="preserve"> has the right to payment, namely after 30/60/90/120/xx days after delivery.  </w:t>
      </w:r>
    </w:p>
    <w:p w:rsidR="00000000" w:rsidDel="00000000" w:rsidP="00000000" w:rsidRDefault="00000000" w:rsidRPr="00000000" w14:paraId="000002EC">
      <w:pPr>
        <w:jc w:val="both"/>
        <w:rPr>
          <w:sz w:val="24"/>
          <w:szCs w:val="24"/>
        </w:rPr>
      </w:pPr>
      <w:r w:rsidDel="00000000" w:rsidR="00000000" w:rsidRPr="00000000">
        <w:rPr>
          <w:b w:val="1"/>
          <w:bCs w:val="1"/>
          <w:sz w:val="24"/>
          <w:szCs w:val="24"/>
          <w:rtl w:val="0"/>
        </w:rPr>
        <w:t xml:space="preserve">ALERT OF GROUP ACCOUNTING AND REPORTING</w:t>
      </w:r>
      <w:r w:rsidDel="00000000" w:rsidR="00000000" w:rsidRPr="00000000">
        <w:rPr>
          <w:sz w:val="24"/>
          <w:szCs w:val="24"/>
          <w:rtl w:val="0"/>
        </w:rPr>
        <w:t xml:space="preserve">: in case the expected contribution margin to be realized on consignment inventory held at period end is above 0,5 M€, the analysis has to be sent to the IFRS Desk for review.  In case the expected contribution margin to be realized on consignment inventory held at period end is above 1M€, the consignment arrangement has to be reported as a complex contract. </w:t>
      </w:r>
    </w:p>
    <w:p w:rsidR="00000000" w:rsidDel="00000000" w:rsidP="00000000" w:rsidRDefault="00000000" w:rsidRPr="00000000" w14:paraId="000002ED">
      <w:pPr>
        <w:pStyle w:val="Heading2"/>
        <w:numPr>
          <w:ilvl w:val="0"/>
          <w:numId w:val="32"/>
        </w:numPr>
        <w:ind w:left="1440" w:hanging="360"/>
        <w:rPr/>
      </w:pPr>
      <w:bookmarkStart w:colFirst="0" w:colLast="0" w:name="_heading=h.lzca1ayfob88" w:id="44"/>
      <w:bookmarkEnd w:id="44"/>
      <w:r w:rsidDel="00000000" w:rsidR="00000000" w:rsidRPr="00000000">
        <w:rPr>
          <w:rtl w:val="0"/>
        </w:rPr>
        <w:t xml:space="preserve">Bill-and-hold arrangements</w:t>
      </w:r>
    </w:p>
    <w:p w:rsidR="00000000" w:rsidDel="00000000" w:rsidP="00000000" w:rsidRDefault="00000000" w:rsidRPr="00000000" w14:paraId="000002EE">
      <w:pPr>
        <w:jc w:val="both"/>
        <w:rPr>
          <w:sz w:val="24"/>
          <w:szCs w:val="24"/>
        </w:rPr>
      </w:pPr>
      <w:r w:rsidDel="00000000" w:rsidR="00000000" w:rsidRPr="00000000">
        <w:rPr>
          <w:sz w:val="24"/>
          <w:szCs w:val="24"/>
          <w:rtl w:val="0"/>
        </w:rPr>
        <w:t xml:space="preserve">In this case, the entity invoices a customer for a product but, instead of delivering it to the customer, retains physical possession with the product being shipped or delivered to the customer at a later date.  The reasons might be: lack of storage capacity, inability to use the goods until a later date, delays in customer’s production schedule, …  The effect is that, in addition to selling the product, the entity provides a custodial service, to which a portion of the transaction price needs to be allocated.</w:t>
      </w:r>
    </w:p>
    <w:p w:rsidR="00000000" w:rsidDel="00000000" w:rsidP="00000000" w:rsidRDefault="00000000" w:rsidRPr="00000000" w14:paraId="000002EF">
      <w:pPr>
        <w:jc w:val="both"/>
        <w:rPr>
          <w:sz w:val="24"/>
          <w:szCs w:val="24"/>
        </w:rPr>
      </w:pPr>
      <w:r w:rsidDel="00000000" w:rsidR="00000000" w:rsidRPr="00000000">
        <w:rPr>
          <w:sz w:val="24"/>
          <w:szCs w:val="24"/>
          <w:rtl w:val="0"/>
        </w:rPr>
        <w:t xml:space="preserve">The key condition to recognize revenue is the fact that the customer obtained control of the product.</w:t>
      </w:r>
    </w:p>
    <w:p w:rsidR="00000000" w:rsidDel="00000000" w:rsidP="00000000" w:rsidRDefault="00000000" w:rsidRPr="00000000" w14:paraId="000002F0">
      <w:pPr>
        <w:jc w:val="both"/>
        <w:rPr>
          <w:sz w:val="24"/>
          <w:szCs w:val="24"/>
        </w:rPr>
      </w:pPr>
      <w:r w:rsidDel="00000000" w:rsidR="00000000" w:rsidRPr="00000000">
        <w:rPr>
          <w:sz w:val="24"/>
          <w:szCs w:val="24"/>
          <w:rtl w:val="0"/>
        </w:rPr>
        <w:t xml:space="preserve">For some contracts, a customer may obtain control of a product even though that product remains in an entity’s physical possession. In that case, the customer has the ability to direct the use of, and obtain substantially all of the remaining benefits from, the product even though it has decided not to exercise its right to take physical possession of that product. Consequently, Syensqo does not control the product but instead provides custodial services to the customer.</w:t>
      </w:r>
    </w:p>
    <w:p w:rsidR="00000000" w:rsidDel="00000000" w:rsidP="00000000" w:rsidRDefault="00000000" w:rsidRPr="00000000" w14:paraId="000002F1">
      <w:pPr>
        <w:jc w:val="both"/>
        <w:rPr>
          <w:sz w:val="24"/>
          <w:szCs w:val="24"/>
        </w:rPr>
      </w:pPr>
      <w:r w:rsidDel="00000000" w:rsidR="00000000" w:rsidRPr="00000000">
        <w:rPr>
          <w:sz w:val="24"/>
          <w:szCs w:val="24"/>
          <w:rtl w:val="0"/>
        </w:rPr>
        <w:t xml:space="preserve">All following criteria must be met in a bill and hold arrangement to recognize revenue:</w:t>
      </w:r>
    </w:p>
    <w:p w:rsidR="00000000" w:rsidDel="00000000" w:rsidP="00000000" w:rsidRDefault="00000000" w:rsidRPr="00000000" w14:paraId="000002F2">
      <w:pPr>
        <w:numPr>
          <w:ilvl w:val="0"/>
          <w:numId w:val="14"/>
        </w:numPr>
        <w:pBdr>
          <w:top w:space="0" w:sz="0" w:val="nil"/>
          <w:left w:space="0" w:sz="0" w:val="nil"/>
          <w:bottom w:space="0" w:sz="0" w:val="nil"/>
          <w:right w:space="0" w:sz="0" w:val="nil"/>
          <w:between w:space="0" w:sz="0" w:val="nil"/>
        </w:pBdr>
        <w:spacing w:after="0" w:lineRule="auto"/>
        <w:ind w:left="426" w:hanging="360"/>
        <w:jc w:val="both"/>
        <w:rPr>
          <w:color w:val="000000"/>
          <w:sz w:val="24"/>
          <w:szCs w:val="24"/>
        </w:rPr>
      </w:pPr>
      <w:r w:rsidDel="00000000" w:rsidR="00000000" w:rsidRPr="00000000">
        <w:rPr>
          <w:color w:val="000000"/>
          <w:sz w:val="24"/>
          <w:szCs w:val="24"/>
          <w:rtl w:val="0"/>
        </w:rPr>
        <w:t xml:space="preserve">the reason for the bill-and-hold arrangement must be substantive (for example, the customer has requested the arrangement);</w:t>
      </w:r>
    </w:p>
    <w:p w:rsidR="00000000" w:rsidDel="00000000" w:rsidP="00000000" w:rsidRDefault="00000000" w:rsidRPr="00000000" w14:paraId="000002F3">
      <w:pPr>
        <w:numPr>
          <w:ilvl w:val="0"/>
          <w:numId w:val="14"/>
        </w:numPr>
        <w:pBdr>
          <w:top w:space="0" w:sz="0" w:val="nil"/>
          <w:left w:space="0" w:sz="0" w:val="nil"/>
          <w:bottom w:space="0" w:sz="0" w:val="nil"/>
          <w:right w:space="0" w:sz="0" w:val="nil"/>
          <w:between w:space="0" w:sz="0" w:val="nil"/>
        </w:pBdr>
        <w:spacing w:after="0" w:lineRule="auto"/>
        <w:ind w:left="426" w:hanging="360"/>
        <w:jc w:val="both"/>
        <w:rPr>
          <w:color w:val="000000"/>
          <w:sz w:val="24"/>
          <w:szCs w:val="24"/>
        </w:rPr>
      </w:pPr>
      <w:r w:rsidDel="00000000" w:rsidR="00000000" w:rsidRPr="00000000">
        <w:rPr>
          <w:color w:val="000000"/>
          <w:sz w:val="24"/>
          <w:szCs w:val="24"/>
          <w:rtl w:val="0"/>
        </w:rPr>
        <w:t xml:space="preserve">the  product must be identified separately as belonging to the customer;</w:t>
      </w:r>
    </w:p>
    <w:p w:rsidR="00000000" w:rsidDel="00000000" w:rsidP="00000000" w:rsidRDefault="00000000" w:rsidRPr="00000000" w14:paraId="000002F4">
      <w:pPr>
        <w:numPr>
          <w:ilvl w:val="0"/>
          <w:numId w:val="14"/>
        </w:numPr>
        <w:pBdr>
          <w:top w:space="0" w:sz="0" w:val="nil"/>
          <w:left w:space="0" w:sz="0" w:val="nil"/>
          <w:bottom w:space="0" w:sz="0" w:val="nil"/>
          <w:right w:space="0" w:sz="0" w:val="nil"/>
          <w:between w:space="0" w:sz="0" w:val="nil"/>
        </w:pBdr>
        <w:spacing w:after="0" w:lineRule="auto"/>
        <w:ind w:left="426" w:hanging="360"/>
        <w:jc w:val="both"/>
        <w:rPr>
          <w:color w:val="000000"/>
          <w:sz w:val="24"/>
          <w:szCs w:val="24"/>
        </w:rPr>
      </w:pPr>
      <w:r w:rsidDel="00000000" w:rsidR="00000000" w:rsidRPr="00000000">
        <w:rPr>
          <w:color w:val="000000"/>
          <w:sz w:val="24"/>
          <w:szCs w:val="24"/>
          <w:rtl w:val="0"/>
        </w:rPr>
        <w:t xml:space="preserve">the product currently must be ready for physical transfer to the customer; and</w:t>
      </w:r>
    </w:p>
    <w:p w:rsidR="00000000" w:rsidDel="00000000" w:rsidP="00000000" w:rsidRDefault="00000000" w:rsidRPr="00000000" w14:paraId="000002F5">
      <w:pPr>
        <w:numPr>
          <w:ilvl w:val="0"/>
          <w:numId w:val="14"/>
        </w:numPr>
        <w:pBdr>
          <w:top w:space="0" w:sz="0" w:val="nil"/>
          <w:left w:space="0" w:sz="0" w:val="nil"/>
          <w:bottom w:space="0" w:sz="0" w:val="nil"/>
          <w:right w:space="0" w:sz="0" w:val="nil"/>
          <w:between w:space="0" w:sz="0" w:val="nil"/>
        </w:pBdr>
        <w:spacing w:after="0" w:lineRule="auto"/>
        <w:ind w:left="426" w:hanging="360"/>
        <w:jc w:val="both"/>
        <w:rPr>
          <w:color w:val="000000"/>
          <w:sz w:val="24"/>
          <w:szCs w:val="24"/>
        </w:rPr>
      </w:pPr>
      <w:r w:rsidDel="00000000" w:rsidR="00000000" w:rsidRPr="00000000">
        <w:rPr>
          <w:color w:val="000000"/>
          <w:sz w:val="24"/>
          <w:szCs w:val="24"/>
          <w:rtl w:val="0"/>
        </w:rPr>
        <w:t xml:space="preserve">the entity cannot have the ability to use the product or to direct it to another customer.</w:t>
      </w:r>
    </w:p>
    <w:p w:rsidR="00000000" w:rsidDel="00000000" w:rsidP="00000000" w:rsidRDefault="00000000" w:rsidRPr="00000000" w14:paraId="000002F6">
      <w:pPr>
        <w:numPr>
          <w:ilvl w:val="0"/>
          <w:numId w:val="14"/>
        </w:numPr>
        <w:pBdr>
          <w:top w:space="0" w:sz="0" w:val="nil"/>
          <w:left w:space="0" w:sz="0" w:val="nil"/>
          <w:bottom w:space="0" w:sz="0" w:val="nil"/>
          <w:right w:space="0" w:sz="0" w:val="nil"/>
          <w:between w:space="0" w:sz="0" w:val="nil"/>
        </w:pBdr>
        <w:ind w:left="426" w:hanging="360"/>
        <w:jc w:val="both"/>
        <w:rPr>
          <w:color w:val="000000"/>
          <w:sz w:val="24"/>
          <w:szCs w:val="24"/>
        </w:rPr>
      </w:pPr>
      <w:r w:rsidDel="00000000" w:rsidR="00000000" w:rsidRPr="00000000">
        <w:rPr>
          <w:rtl w:val="0"/>
        </w:rPr>
      </w:r>
    </w:p>
    <w:p w:rsidR="00000000" w:rsidDel="00000000" w:rsidP="00000000" w:rsidRDefault="00000000" w:rsidRPr="00000000" w14:paraId="000002F7">
      <w:pPr>
        <w:pStyle w:val="Subtitle"/>
        <w:rPr/>
      </w:pPr>
      <w:r w:rsidDel="00000000" w:rsidR="00000000" w:rsidRPr="00000000">
        <w:rPr>
          <w:rtl w:val="0"/>
        </w:rPr>
        <w:t xml:space="preserve">Example</w:t>
      </w:r>
    </w:p>
    <w:p w:rsidR="00000000" w:rsidDel="00000000" w:rsidP="00000000" w:rsidRDefault="00000000" w:rsidRPr="00000000" w14:paraId="000002F8">
      <w:pPr>
        <w:jc w:val="both"/>
        <w:rPr>
          <w:sz w:val="24"/>
          <w:szCs w:val="24"/>
        </w:rPr>
      </w:pPr>
      <w:r w:rsidDel="00000000" w:rsidR="00000000" w:rsidRPr="00000000">
        <w:rPr>
          <w:sz w:val="24"/>
          <w:szCs w:val="24"/>
          <w:rtl w:val="0"/>
        </w:rPr>
        <w:t xml:space="preserve">Syensqo enters into a contract with customer A for the sale of goods.  On March 31, 20X6 A accepts the goods and requests that the goods be stored at Syensqo’s warehouse because it lacks storage capacity.  A has legal title to the goods and they arts can be identified as belonging to the customer.  Syensqo stores the goods in a separate section of its warehouse and they are ready for immediate shipment at the A’s request. Syensqo does not have the ability to use the goods or direct them to another customer.</w:t>
      </w:r>
    </w:p>
    <w:p w:rsidR="00000000" w:rsidDel="00000000" w:rsidP="00000000" w:rsidRDefault="00000000" w:rsidRPr="00000000" w14:paraId="000002F9">
      <w:pPr>
        <w:jc w:val="both"/>
        <w:rPr>
          <w:sz w:val="24"/>
          <w:szCs w:val="24"/>
        </w:rPr>
      </w:pPr>
      <w:r w:rsidDel="00000000" w:rsidR="00000000" w:rsidRPr="00000000">
        <w:rPr>
          <w:sz w:val="24"/>
          <w:szCs w:val="24"/>
          <w:rtl w:val="0"/>
        </w:rPr>
        <w:t xml:space="preserve">Three performance obligations are identified, being to provide:</w:t>
      </w:r>
    </w:p>
    <w:p w:rsidR="00000000" w:rsidDel="00000000" w:rsidP="00000000" w:rsidRDefault="00000000" w:rsidRPr="00000000" w14:paraId="000002FA">
      <w:pPr>
        <w:numPr>
          <w:ilvl w:val="0"/>
          <w:numId w:val="10"/>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color w:val="000000"/>
          <w:sz w:val="24"/>
          <w:szCs w:val="24"/>
          <w:rtl w:val="0"/>
        </w:rPr>
        <w:t xml:space="preserve">the goods; and </w:t>
      </w:r>
    </w:p>
    <w:p w:rsidR="00000000" w:rsidDel="00000000" w:rsidP="00000000" w:rsidRDefault="00000000" w:rsidRPr="00000000" w14:paraId="000002FB">
      <w:pPr>
        <w:numPr>
          <w:ilvl w:val="0"/>
          <w:numId w:val="10"/>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color w:val="000000"/>
          <w:sz w:val="24"/>
          <w:szCs w:val="24"/>
          <w:rtl w:val="0"/>
        </w:rPr>
        <w:t xml:space="preserve">the custodial services.</w:t>
      </w:r>
    </w:p>
    <w:p w:rsidR="00000000" w:rsidDel="00000000" w:rsidP="00000000" w:rsidRDefault="00000000" w:rsidRPr="00000000" w14:paraId="000002FC">
      <w:pPr>
        <w:jc w:val="both"/>
        <w:rPr>
          <w:sz w:val="24"/>
          <w:szCs w:val="24"/>
        </w:rPr>
      </w:pPr>
      <w:r w:rsidDel="00000000" w:rsidR="00000000" w:rsidRPr="00000000">
        <w:rPr>
          <w:sz w:val="24"/>
          <w:szCs w:val="24"/>
          <w:rtl w:val="0"/>
        </w:rPr>
        <w:t xml:space="preserve">Revenue recognition for performance obligations occurs for (a) when control is transferred (at a point in time: March 31, 20X6), and for (b) as the custodial services are rendered (over time).</w:t>
      </w:r>
    </w:p>
    <w:p w:rsidR="00000000" w:rsidDel="00000000" w:rsidP="00000000" w:rsidRDefault="00000000" w:rsidRPr="00000000" w14:paraId="000002FD">
      <w:pPr>
        <w:pStyle w:val="Heading2"/>
        <w:numPr>
          <w:ilvl w:val="0"/>
          <w:numId w:val="32"/>
        </w:numPr>
        <w:ind w:left="1440" w:hanging="360"/>
        <w:rPr/>
      </w:pPr>
      <w:bookmarkStart w:colFirst="0" w:colLast="0" w:name="_heading=h.bqzrdwsda50x" w:id="45"/>
      <w:bookmarkEnd w:id="45"/>
      <w:r w:rsidDel="00000000" w:rsidR="00000000" w:rsidRPr="00000000">
        <w:rPr>
          <w:rtl w:val="0"/>
        </w:rPr>
        <w:t xml:space="preserve">Safety stocks</w:t>
      </w:r>
    </w:p>
    <w:p w:rsidR="00000000" w:rsidDel="00000000" w:rsidP="00000000" w:rsidRDefault="00000000" w:rsidRPr="00000000" w14:paraId="000002FE">
      <w:pPr>
        <w:jc w:val="both"/>
        <w:rPr>
          <w:sz w:val="24"/>
          <w:szCs w:val="24"/>
        </w:rPr>
      </w:pPr>
      <w:r w:rsidDel="00000000" w:rsidR="00000000" w:rsidRPr="00000000">
        <w:rPr>
          <w:sz w:val="24"/>
          <w:szCs w:val="24"/>
          <w:rtl w:val="0"/>
        </w:rPr>
        <w:t xml:space="preserve">In some contracts, Syensqo is contractually obliged to keep available a minimum level of inventories to be able to satisfy future purchase orders of the customer.  Nevertheless, the contractual right to payment obtained by Syensqo is driven by each purchase order delivered by the customer. Those obligations to keep safety stocks will not be considered as a distinct performance obligation for revenue recognition purposes.</w:t>
      </w:r>
    </w:p>
    <w:p w:rsidR="00000000" w:rsidDel="00000000" w:rsidP="00000000" w:rsidRDefault="00000000" w:rsidRPr="00000000" w14:paraId="000002FF">
      <w:pPr>
        <w:pStyle w:val="Heading2"/>
        <w:numPr>
          <w:ilvl w:val="0"/>
          <w:numId w:val="32"/>
        </w:numPr>
        <w:ind w:left="1440" w:hanging="360"/>
        <w:rPr/>
      </w:pPr>
      <w:bookmarkStart w:colFirst="0" w:colLast="0" w:name="_heading=h.la8dbhtxtf1m" w:id="46"/>
      <w:bookmarkEnd w:id="46"/>
      <w:r w:rsidDel="00000000" w:rsidR="00000000" w:rsidRPr="00000000">
        <w:rPr>
          <w:rtl w:val="0"/>
        </w:rPr>
        <w:t xml:space="preserve">Royalties related to licenses of intellectual property</w:t>
      </w:r>
    </w:p>
    <w:p w:rsidR="00000000" w:rsidDel="00000000" w:rsidP="00000000" w:rsidRDefault="00000000" w:rsidRPr="00000000" w14:paraId="00000300">
      <w:pPr>
        <w:jc w:val="both"/>
        <w:rPr>
          <w:sz w:val="24"/>
          <w:szCs w:val="24"/>
        </w:rPr>
      </w:pPr>
      <w:r w:rsidDel="00000000" w:rsidR="00000000" w:rsidRPr="00000000">
        <w:rPr>
          <w:sz w:val="24"/>
          <w:szCs w:val="24"/>
          <w:rtl w:val="0"/>
        </w:rPr>
        <w:t xml:space="preserve">Recognition of revenue for licenses of intellectual property slightly differs from the requirements applied to all other promised goods and services.  Licenses of intellectual property may include licenses for software, technology, media and entertainment, franchises, patents, trademark, copyrights, …</w:t>
      </w:r>
    </w:p>
    <w:p w:rsidR="00000000" w:rsidDel="00000000" w:rsidP="00000000" w:rsidRDefault="00000000" w:rsidRPr="00000000" w14:paraId="00000301">
      <w:pPr>
        <w:jc w:val="both"/>
        <w:rPr>
          <w:sz w:val="24"/>
          <w:szCs w:val="24"/>
        </w:rPr>
      </w:pPr>
      <w:r w:rsidDel="00000000" w:rsidR="00000000" w:rsidRPr="00000000">
        <w:rPr>
          <w:sz w:val="24"/>
          <w:szCs w:val="24"/>
          <w:rtl w:val="0"/>
        </w:rPr>
        <w:t xml:space="preserve">Revenue shall be recognized upon the later of when the sale or usage occurs or the satisfaction of performance obligation to which some or all of the sales or usage-based royalty has been allocated.  </w:t>
      </w:r>
    </w:p>
    <w:p w:rsidR="00000000" w:rsidDel="00000000" w:rsidP="00000000" w:rsidRDefault="00000000" w:rsidRPr="00000000" w14:paraId="00000302">
      <w:pPr>
        <w:pStyle w:val="Subtitle"/>
        <w:rPr/>
      </w:pPr>
      <w:r w:rsidDel="00000000" w:rsidR="00000000" w:rsidRPr="00000000">
        <w:rPr>
          <w:rtl w:val="0"/>
        </w:rPr>
        <w:t xml:space="preserve">Example</w:t>
      </w:r>
    </w:p>
    <w:p w:rsidR="00000000" w:rsidDel="00000000" w:rsidP="00000000" w:rsidRDefault="00000000" w:rsidRPr="00000000" w14:paraId="00000303">
      <w:pPr>
        <w:jc w:val="both"/>
        <w:rPr>
          <w:sz w:val="24"/>
          <w:szCs w:val="24"/>
        </w:rPr>
      </w:pPr>
      <w:r w:rsidDel="00000000" w:rsidR="00000000" w:rsidRPr="00000000">
        <w:rPr>
          <w:sz w:val="24"/>
          <w:szCs w:val="24"/>
          <w:rtl w:val="0"/>
        </w:rPr>
        <w:t xml:space="preserve">Syensqo enters into a contract with a customer and promises to grant a franchise license that provides the customer with the right to use the Syensqo’s trade name and sell the Syensqo’s products for 10 years. In exchange for granting the license, Syensqo receives a sales-based royalty of five per cent of the customer’s monthly sales.</w:t>
      </w:r>
    </w:p>
    <w:p w:rsidR="00000000" w:rsidDel="00000000" w:rsidP="00000000" w:rsidRDefault="00000000" w:rsidRPr="00000000" w14:paraId="00000304">
      <w:pPr>
        <w:jc w:val="both"/>
        <w:rPr>
          <w:sz w:val="24"/>
          <w:szCs w:val="24"/>
        </w:rPr>
      </w:pPr>
      <w:r w:rsidDel="00000000" w:rsidR="00000000" w:rsidRPr="00000000">
        <w:rPr>
          <w:sz w:val="24"/>
          <w:szCs w:val="24"/>
          <w:rtl w:val="0"/>
        </w:rPr>
        <w:t xml:space="preserve">Revenue will be recognized as the customer realizes its monthly sales. </w:t>
      </w:r>
    </w:p>
    <w:p w:rsidR="00000000" w:rsidDel="00000000" w:rsidP="00000000" w:rsidRDefault="00000000" w:rsidRPr="00000000" w14:paraId="00000305">
      <w:pPr>
        <w:pStyle w:val="Heading2"/>
        <w:numPr>
          <w:ilvl w:val="0"/>
          <w:numId w:val="32"/>
        </w:numPr>
        <w:ind w:left="1440" w:hanging="360"/>
        <w:rPr/>
      </w:pPr>
      <w:bookmarkStart w:colFirst="0" w:colLast="0" w:name="_heading=h.9dhdp2n0t513" w:id="47"/>
      <w:bookmarkEnd w:id="47"/>
      <w:r w:rsidDel="00000000" w:rsidR="00000000" w:rsidRPr="00000000">
        <w:rPr>
          <w:rtl w:val="0"/>
        </w:rPr>
        <w:t xml:space="preserve">Principal vs agent</w:t>
      </w:r>
    </w:p>
    <w:p w:rsidR="00000000" w:rsidDel="00000000" w:rsidP="00000000" w:rsidRDefault="00000000" w:rsidRPr="00000000" w14:paraId="00000306">
      <w:pPr>
        <w:jc w:val="both"/>
        <w:rPr>
          <w:sz w:val="24"/>
          <w:szCs w:val="24"/>
        </w:rPr>
      </w:pPr>
      <w:r w:rsidDel="00000000" w:rsidR="00000000" w:rsidRPr="00000000">
        <w:rPr>
          <w:sz w:val="24"/>
          <w:szCs w:val="24"/>
          <w:rtl w:val="0"/>
        </w:rPr>
        <w:t xml:space="preserve">When the entity is an intermediate party, involved in providing its vendor’s goods or services to an ultimate customer, the entity must determine whether its performance obligation is to provide the good or service itself (i.e. the entity is principal) or to arrange for its own vendor to provide the good or service (i.e. the entity is agent). This determination affects whether the transaction is presented gross (i.e. revenue less costs of goods sold) or net (i.e. sales commission revenue).  When the entity is the principal, the revenue recognized is the gross amount to which the entity expects to be entitled.  When the entity is the agent, the revenue recognized is the net amount the entity is entitled to retain in return for its services as the agent.  </w:t>
      </w:r>
    </w:p>
    <w:p w:rsidR="00000000" w:rsidDel="00000000" w:rsidP="00000000" w:rsidRDefault="00000000" w:rsidRPr="00000000" w14:paraId="00000307">
      <w:pPr>
        <w:jc w:val="both"/>
        <w:rPr>
          <w:sz w:val="24"/>
          <w:szCs w:val="24"/>
        </w:rPr>
      </w:pPr>
      <w:r w:rsidDel="00000000" w:rsidR="00000000" w:rsidRPr="00000000">
        <w:rPr>
          <w:sz w:val="24"/>
          <w:szCs w:val="24"/>
          <w:rtl w:val="0"/>
        </w:rPr>
        <w:t xml:space="preserve">Indicators that an entity is a principal (and therefore controls the good or service before it is provided to a customer) include the following:</w:t>
      </w:r>
    </w:p>
    <w:p w:rsidR="00000000" w:rsidDel="00000000" w:rsidP="00000000" w:rsidRDefault="00000000" w:rsidRPr="00000000" w14:paraId="00000308">
      <w:pPr>
        <w:numPr>
          <w:ilvl w:val="0"/>
          <w:numId w:val="15"/>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sz w:val="24"/>
          <w:szCs w:val="24"/>
          <w:rtl w:val="0"/>
        </w:rPr>
        <w:t xml:space="preserve">Syensqo</w:t>
      </w:r>
      <w:r w:rsidDel="00000000" w:rsidR="00000000" w:rsidRPr="00000000">
        <w:rPr>
          <w:color w:val="000000"/>
          <w:sz w:val="24"/>
          <w:szCs w:val="24"/>
          <w:rtl w:val="0"/>
        </w:rPr>
        <w:t xml:space="preserve"> is primarily responsible for fulfilling the contract. Such generally means that </w:t>
      </w:r>
      <w:r w:rsidDel="00000000" w:rsidR="00000000" w:rsidRPr="00000000">
        <w:rPr>
          <w:sz w:val="24"/>
          <w:szCs w:val="24"/>
          <w:rtl w:val="0"/>
        </w:rPr>
        <w:t xml:space="preserve">Syensqo</w:t>
      </w:r>
      <w:r w:rsidDel="00000000" w:rsidR="00000000" w:rsidRPr="00000000">
        <w:rPr>
          <w:color w:val="000000"/>
          <w:sz w:val="24"/>
          <w:szCs w:val="24"/>
          <w:rtl w:val="0"/>
        </w:rPr>
        <w:t xml:space="preserve"> is responsible for the good meeting customer specifications);</w:t>
      </w:r>
    </w:p>
    <w:p w:rsidR="00000000" w:rsidDel="00000000" w:rsidP="00000000" w:rsidRDefault="00000000" w:rsidRPr="00000000" w14:paraId="00000309">
      <w:pPr>
        <w:numPr>
          <w:ilvl w:val="0"/>
          <w:numId w:val="15"/>
        </w:numPr>
        <w:pBdr>
          <w:top w:space="0" w:sz="0" w:val="nil"/>
          <w:left w:space="0" w:sz="0" w:val="nil"/>
          <w:bottom w:space="0" w:sz="0" w:val="nil"/>
          <w:right w:space="0" w:sz="0" w:val="nil"/>
          <w:between w:space="0" w:sz="0" w:val="nil"/>
        </w:pBdr>
        <w:spacing w:after="0" w:lineRule="auto"/>
        <w:ind w:left="360" w:hanging="360"/>
        <w:jc w:val="both"/>
        <w:rPr>
          <w:color w:val="000000"/>
          <w:sz w:val="24"/>
          <w:szCs w:val="24"/>
        </w:rPr>
      </w:pPr>
      <w:r w:rsidDel="00000000" w:rsidR="00000000" w:rsidRPr="00000000">
        <w:rPr>
          <w:sz w:val="24"/>
          <w:szCs w:val="24"/>
          <w:rtl w:val="0"/>
        </w:rPr>
        <w:t xml:space="preserve">Syensqo</w:t>
      </w:r>
      <w:r w:rsidDel="00000000" w:rsidR="00000000" w:rsidRPr="00000000">
        <w:rPr>
          <w:color w:val="000000"/>
          <w:sz w:val="24"/>
          <w:szCs w:val="24"/>
          <w:rtl w:val="0"/>
        </w:rPr>
        <w:t xml:space="preserve"> has inventory risk before or after the goods have been ordered by a customer, during shipping or on return;</w:t>
      </w:r>
    </w:p>
    <w:p w:rsidR="00000000" w:rsidDel="00000000" w:rsidP="00000000" w:rsidRDefault="00000000" w:rsidRPr="00000000" w14:paraId="0000030A">
      <w:pPr>
        <w:numPr>
          <w:ilvl w:val="0"/>
          <w:numId w:val="15"/>
        </w:numPr>
        <w:pBdr>
          <w:top w:space="0" w:sz="0" w:val="nil"/>
          <w:left w:space="0" w:sz="0" w:val="nil"/>
          <w:bottom w:space="0" w:sz="0" w:val="nil"/>
          <w:right w:space="0" w:sz="0" w:val="nil"/>
          <w:between w:space="0" w:sz="0" w:val="nil"/>
        </w:pBdr>
        <w:ind w:left="360" w:hanging="360"/>
        <w:jc w:val="both"/>
        <w:rPr>
          <w:color w:val="000000"/>
          <w:sz w:val="24"/>
          <w:szCs w:val="24"/>
        </w:rPr>
      </w:pPr>
      <w:r w:rsidDel="00000000" w:rsidR="00000000" w:rsidRPr="00000000">
        <w:rPr>
          <w:sz w:val="24"/>
          <w:szCs w:val="24"/>
          <w:rtl w:val="0"/>
        </w:rPr>
        <w:t xml:space="preserve">Syensqo</w:t>
      </w:r>
      <w:r w:rsidDel="00000000" w:rsidR="00000000" w:rsidRPr="00000000">
        <w:rPr>
          <w:color w:val="000000"/>
          <w:sz w:val="24"/>
          <w:szCs w:val="24"/>
          <w:rtl w:val="0"/>
        </w:rPr>
        <w:t xml:space="preserve"> has discretion in establishing prices for the goods or services.</w:t>
      </w:r>
    </w:p>
    <w:p w:rsidR="00000000" w:rsidDel="00000000" w:rsidP="00000000" w:rsidRDefault="00000000" w:rsidRPr="00000000" w14:paraId="0000030B">
      <w:pPr>
        <w:pStyle w:val="Heading2"/>
        <w:numPr>
          <w:ilvl w:val="0"/>
          <w:numId w:val="32"/>
        </w:numPr>
        <w:ind w:left="1440" w:hanging="360"/>
        <w:rPr/>
      </w:pPr>
      <w:bookmarkStart w:colFirst="0" w:colLast="0" w:name="_heading=h.fzkseb61agcy" w:id="48"/>
      <w:bookmarkEnd w:id="48"/>
      <w:r w:rsidDel="00000000" w:rsidR="00000000" w:rsidRPr="00000000">
        <w:rPr>
          <w:rtl w:val="0"/>
        </w:rPr>
        <w:t xml:space="preserve">Trainings, technical services, hot line, technical assistance, packaging… provided to customer</w:t>
      </w:r>
    </w:p>
    <w:p w:rsidR="00000000" w:rsidDel="00000000" w:rsidP="00000000" w:rsidRDefault="00000000" w:rsidRPr="00000000" w14:paraId="0000030C">
      <w:pPr>
        <w:jc w:val="both"/>
        <w:rPr>
          <w:sz w:val="24"/>
          <w:szCs w:val="24"/>
        </w:rPr>
      </w:pPr>
      <w:r w:rsidDel="00000000" w:rsidR="00000000" w:rsidRPr="00000000">
        <w:rPr>
          <w:sz w:val="24"/>
          <w:szCs w:val="24"/>
          <w:rtl w:val="0"/>
        </w:rPr>
        <w:t xml:space="preserve">Syensqo needs to consider whether these services represent separate promises to the customer.  If this is the case, a portion of the transaction price needs to be allocated to those separate performance obligations and revenue will be recognized for them as those services are rendered.  In practice, if the period of time during which those services are rendered corresponds to the period during which goods are delivered, impacts of not accounting for those services separately generally are not material. If this can be demonstrated, then those services are not accounted for separately. To the contrary, if services are rendered during periods subsequent to the period during which the goods will be delivered, or when impacts are material, those services are to be accounted for separately.</w:t>
      </w:r>
    </w:p>
    <w:p w:rsidR="00000000" w:rsidDel="00000000" w:rsidP="00000000" w:rsidRDefault="00000000" w:rsidRPr="00000000" w14:paraId="0000030D">
      <w:pPr>
        <w:jc w:val="both"/>
        <w:rPr>
          <w:sz w:val="24"/>
          <w:szCs w:val="24"/>
        </w:rPr>
      </w:pPr>
      <w:r w:rsidDel="00000000" w:rsidR="00000000" w:rsidRPr="00000000">
        <w:rPr>
          <w:rtl w:val="0"/>
        </w:rPr>
      </w:r>
    </w:p>
    <w:p w:rsidR="00000000" w:rsidDel="00000000" w:rsidP="00000000" w:rsidRDefault="00000000" w:rsidRPr="00000000" w14:paraId="0000030E">
      <w:pPr>
        <w:jc w:val="both"/>
        <w:rPr>
          <w:sz w:val="24"/>
          <w:szCs w:val="24"/>
        </w:rPr>
      </w:pPr>
      <w:r w:rsidDel="00000000" w:rsidR="00000000" w:rsidRPr="00000000">
        <w:rPr>
          <w:rtl w:val="0"/>
        </w:rPr>
      </w:r>
    </w:p>
    <w:p w:rsidR="00000000" w:rsidDel="00000000" w:rsidP="00000000" w:rsidRDefault="00000000" w:rsidRPr="00000000" w14:paraId="0000030F">
      <w:pPr>
        <w:jc w:val="both"/>
        <w:rPr>
          <w:sz w:val="24"/>
          <w:szCs w:val="24"/>
        </w:rPr>
      </w:pPr>
      <w:r w:rsidDel="00000000" w:rsidR="00000000" w:rsidRPr="00000000">
        <w:rPr>
          <w:rtl w:val="0"/>
        </w:rPr>
      </w:r>
    </w:p>
    <w:p w:rsidR="00000000" w:rsidDel="00000000" w:rsidP="00000000" w:rsidRDefault="00000000" w:rsidRPr="00000000" w14:paraId="00000310">
      <w:pPr>
        <w:jc w:val="both"/>
        <w:rPr>
          <w:sz w:val="24"/>
          <w:szCs w:val="24"/>
        </w:rPr>
      </w:pPr>
      <w:r w:rsidDel="00000000" w:rsidR="00000000" w:rsidRPr="00000000">
        <w:rPr>
          <w:rtl w:val="0"/>
        </w:rPr>
      </w:r>
    </w:p>
    <w:p w:rsidR="00000000" w:rsidDel="00000000" w:rsidP="00000000" w:rsidRDefault="00000000" w:rsidRPr="00000000" w14:paraId="00000311">
      <w:pPr>
        <w:jc w:val="both"/>
        <w:rPr>
          <w:sz w:val="24"/>
          <w:szCs w:val="24"/>
        </w:rPr>
      </w:pPr>
      <w:r w:rsidDel="00000000" w:rsidR="00000000" w:rsidRPr="00000000">
        <w:rPr>
          <w:rtl w:val="0"/>
        </w:rPr>
      </w:r>
    </w:p>
    <w:p w:rsidR="00000000" w:rsidDel="00000000" w:rsidP="00000000" w:rsidRDefault="00000000" w:rsidRPr="00000000" w14:paraId="00000312">
      <w:pPr>
        <w:jc w:val="both"/>
        <w:rPr>
          <w:sz w:val="24"/>
          <w:szCs w:val="24"/>
        </w:rPr>
      </w:pPr>
      <w:r w:rsidDel="00000000" w:rsidR="00000000" w:rsidRPr="00000000">
        <w:rPr>
          <w:rtl w:val="0"/>
        </w:rPr>
      </w:r>
    </w:p>
    <w:p w:rsidR="00000000" w:rsidDel="00000000" w:rsidP="00000000" w:rsidRDefault="00000000" w:rsidRPr="00000000" w14:paraId="00000313">
      <w:pPr>
        <w:jc w:val="both"/>
        <w:rPr>
          <w:sz w:val="24"/>
          <w:szCs w:val="24"/>
        </w:rPr>
      </w:pPr>
      <w:r w:rsidDel="00000000" w:rsidR="00000000" w:rsidRPr="00000000">
        <w:rPr>
          <w:rtl w:val="0"/>
        </w:rPr>
      </w:r>
    </w:p>
    <w:p w:rsidR="00000000" w:rsidDel="00000000" w:rsidP="00000000" w:rsidRDefault="00000000" w:rsidRPr="00000000" w14:paraId="00000314">
      <w:pPr>
        <w:jc w:val="both"/>
        <w:rPr>
          <w:sz w:val="24"/>
          <w:szCs w:val="24"/>
        </w:rPr>
      </w:pPr>
      <w:r w:rsidDel="00000000" w:rsidR="00000000" w:rsidRPr="00000000">
        <w:rPr>
          <w:rtl w:val="0"/>
        </w:rPr>
      </w:r>
    </w:p>
    <w:p w:rsidR="00000000" w:rsidDel="00000000" w:rsidP="00000000" w:rsidRDefault="00000000" w:rsidRPr="00000000" w14:paraId="00000315">
      <w:pPr>
        <w:jc w:val="both"/>
        <w:rPr>
          <w:sz w:val="24"/>
          <w:szCs w:val="24"/>
        </w:rPr>
      </w:pPr>
      <w:r w:rsidDel="00000000" w:rsidR="00000000" w:rsidRPr="00000000">
        <w:rPr>
          <w:rtl w:val="0"/>
        </w:rPr>
      </w:r>
    </w:p>
    <w:p w:rsidR="00000000" w:rsidDel="00000000" w:rsidP="00000000" w:rsidRDefault="00000000" w:rsidRPr="00000000" w14:paraId="00000316">
      <w:pPr>
        <w:pStyle w:val="Heading1"/>
        <w:rPr/>
      </w:pPr>
      <w:bookmarkStart w:colFirst="0" w:colLast="0" w:name="_heading=h.x5adrjx6pbpl" w:id="49"/>
      <w:bookmarkEnd w:id="49"/>
      <w:r w:rsidDel="00000000" w:rsidR="00000000" w:rsidRPr="00000000">
        <w:rPr>
          <w:rtl w:val="0"/>
        </w:rPr>
        <w:t xml:space="preserve">Document tracking – Versions</w:t>
      </w:r>
    </w:p>
    <w:tbl>
      <w:tblPr>
        <w:tblStyle w:val="Table21"/>
        <w:tblW w:w="9699.0" w:type="dxa"/>
        <w:jc w:val="center"/>
        <w:tblLayout w:type="fixed"/>
        <w:tblLook w:val="0000"/>
      </w:tblPr>
      <w:tblGrid>
        <w:gridCol w:w="1761"/>
        <w:gridCol w:w="3978"/>
        <w:gridCol w:w="2063"/>
        <w:gridCol w:w="1897"/>
        <w:tblGridChange w:id="0">
          <w:tblGrid>
            <w:gridCol w:w="1761"/>
            <w:gridCol w:w="3978"/>
            <w:gridCol w:w="2063"/>
            <w:gridCol w:w="1897"/>
          </w:tblGrid>
        </w:tblGridChange>
      </w:tblGrid>
      <w:tr>
        <w:trPr>
          <w:cantSplit w:val="1"/>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7">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Version</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8">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Change(s)</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9">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Date</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A">
            <w:pPr>
              <w:pBdr>
                <w:top w:space="0" w:sz="0" w:val="nil"/>
                <w:left w:space="0" w:sz="0" w:val="nil"/>
                <w:bottom w:space="0" w:sz="0" w:val="nil"/>
                <w:right w:space="0" w:sz="0" w:val="nil"/>
                <w:between w:space="0" w:sz="0" w:val="nil"/>
              </w:pBdr>
              <w:spacing w:after="120" w:before="120" w:line="240" w:lineRule="auto"/>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Changed by</w:t>
            </w:r>
          </w:p>
        </w:tc>
      </w:tr>
      <w:tr>
        <w:trPr>
          <w:cantSplit w:val="1"/>
          <w:trHeight w:val="24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B">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C">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Document issued</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D">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January 2018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E">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IFRS Desk</w:t>
            </w:r>
          </w:p>
        </w:tc>
      </w:tr>
      <w:tr>
        <w:trPr>
          <w:cantSplit w:val="1"/>
          <w:trHeight w:val="24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1F">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0">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Content of accounts added</w:t>
            </w:r>
          </w:p>
          <w:p w:rsidR="00000000" w:rsidDel="00000000" w:rsidP="00000000" w:rsidRDefault="00000000" w:rsidRPr="00000000" w14:paraId="00000321">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Alerts to be sent to GAR added</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2">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September 2018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3">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IFRS Desk</w:t>
            </w:r>
          </w:p>
        </w:tc>
      </w:tr>
      <w:tr>
        <w:trPr>
          <w:cantSplit w:val="1"/>
          <w:trHeight w:val="1646"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4">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5">
            <w:pPr>
              <w:numPr>
                <w:ilvl w:val="0"/>
                <w:numId w:val="8"/>
              </w:numPr>
              <w:pBdr>
                <w:top w:space="0" w:sz="0" w:val="nil"/>
                <w:left w:space="0" w:sz="0" w:val="nil"/>
                <w:bottom w:space="0" w:sz="0" w:val="nil"/>
                <w:right w:space="0" w:sz="0" w:val="nil"/>
                <w:between w:space="0" w:sz="0" w:val="nil"/>
              </w:pBdr>
              <w:spacing w:after="60" w:before="60" w:line="240" w:lineRule="auto"/>
              <w:ind w:left="360" w:hanging="36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Added that sales of green certificates are generally to be recognized in other revenue on activities (see 3.c)</w:t>
            </w:r>
          </w:p>
          <w:p w:rsidR="00000000" w:rsidDel="00000000" w:rsidP="00000000" w:rsidRDefault="00000000" w:rsidRPr="00000000" w14:paraId="00000326">
            <w:pPr>
              <w:numPr>
                <w:ilvl w:val="0"/>
                <w:numId w:val="8"/>
              </w:numPr>
              <w:pBdr>
                <w:top w:space="0" w:sz="0" w:val="nil"/>
                <w:left w:space="0" w:sz="0" w:val="nil"/>
                <w:bottom w:space="0" w:sz="0" w:val="nil"/>
                <w:right w:space="0" w:sz="0" w:val="nil"/>
                <w:between w:space="0" w:sz="0" w:val="nil"/>
              </w:pBdr>
              <w:spacing w:after="60" w:before="60" w:line="240" w:lineRule="auto"/>
              <w:ind w:left="360" w:hanging="36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Statement of financial position BFC accounts added (see 3.d.)</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7">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November 2019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8">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IFRS Desk</w:t>
            </w:r>
          </w:p>
        </w:tc>
      </w:tr>
      <w:tr>
        <w:trPr>
          <w:cantSplit w:val="1"/>
          <w:trHeight w:val="1646"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9">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A">
            <w:pPr>
              <w:numPr>
                <w:ilvl w:val="0"/>
                <w:numId w:val="8"/>
              </w:numPr>
              <w:pBdr>
                <w:top w:space="0" w:sz="0" w:val="nil"/>
                <w:left w:space="0" w:sz="0" w:val="nil"/>
                <w:bottom w:space="0" w:sz="0" w:val="nil"/>
                <w:right w:space="0" w:sz="0" w:val="nil"/>
                <w:between w:space="0" w:sz="0" w:val="nil"/>
              </w:pBdr>
              <w:spacing w:after="60" w:before="60" w:line="240" w:lineRule="auto"/>
              <w:ind w:left="360" w:hanging="360"/>
              <w:rPr>
                <w:rFonts w:ascii="Arial" w:cs="Arial" w:eastAsia="Arial" w:hAnsi="Arial"/>
                <w:color w:val="000000"/>
                <w:sz w:val="20"/>
                <w:szCs w:val="20"/>
              </w:rPr>
            </w:pPr>
            <w:bookmarkStart w:colFirst="0" w:colLast="0" w:name="_heading=h.1mrcu09" w:id="50"/>
            <w:bookmarkEnd w:id="50"/>
            <w:r w:rsidDel="00000000" w:rsidR="00000000" w:rsidRPr="00000000">
              <w:rPr>
                <w:rFonts w:ascii="Arial" w:cs="Arial" w:eastAsia="Arial" w:hAnsi="Arial"/>
                <w:color w:val="000000"/>
                <w:sz w:val="20"/>
                <w:szCs w:val="20"/>
                <w:rtl w:val="0"/>
              </w:rPr>
              <w:t xml:space="preserve">Removed reference to complex contract procedure for discounts promised for customer renewal (following amendment to CxC procedure) (section 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B">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January 2020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C">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IFRS Desk</w:t>
            </w:r>
          </w:p>
        </w:tc>
      </w:tr>
      <w:tr>
        <w:trPr>
          <w:cantSplit w:val="1"/>
          <w:trHeight w:val="1646"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D">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E">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Added that GAR approval is required to recognize revenue from sales of RECs in Core Revenue</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2F">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November 2023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30">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IFRS Team</w:t>
            </w:r>
          </w:p>
        </w:tc>
      </w:tr>
      <w:tr>
        <w:trPr>
          <w:cantSplit w:val="1"/>
          <w:trHeight w:val="1646"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31">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sz w:val="20"/>
                <w:szCs w:val="20"/>
                <w:rtl w:val="0"/>
              </w:rPr>
              <w:t xml:space="preserve">6</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32">
            <w:pPr>
              <w:pBdr>
                <w:top w:space="0" w:sz="0" w:val="nil"/>
                <w:left w:space="0" w:sz="0" w:val="nil"/>
                <w:bottom w:space="0" w:sz="0" w:val="nil"/>
                <w:right w:space="0" w:sz="0" w:val="nil"/>
                <w:between w:space="0" w:sz="0" w:val="nil"/>
              </w:pBdr>
              <w:spacing w:after="60" w:before="60" w:line="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Solvay references replaced with Syensqo</w:t>
            </w:r>
          </w:p>
          <w:p w:rsidR="00000000" w:rsidDel="00000000" w:rsidP="00000000" w:rsidRDefault="00000000" w:rsidRPr="00000000" w14:paraId="00000333">
            <w:pPr>
              <w:pBdr>
                <w:top w:space="0" w:sz="0" w:val="nil"/>
                <w:left w:space="0" w:sz="0" w:val="nil"/>
                <w:bottom w:space="0" w:sz="0" w:val="nil"/>
                <w:right w:space="0" w:sz="0" w:val="nil"/>
                <w:between w:space="0" w:sz="0" w:val="nil"/>
              </w:pBdr>
              <w:spacing w:after="60" w:before="60" w:line="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Invalid document links removed</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34">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sz w:val="20"/>
                <w:szCs w:val="20"/>
                <w:rtl w:val="0"/>
              </w:rPr>
              <w:t xml:space="preserve">April 2026</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335">
            <w:pPr>
              <w:pBdr>
                <w:top w:space="0" w:sz="0" w:val="nil"/>
                <w:left w:space="0" w:sz="0" w:val="nil"/>
                <w:bottom w:space="0" w:sz="0" w:val="nil"/>
                <w:right w:space="0" w:sz="0" w:val="nil"/>
                <w:between w:space="0" w:sz="0" w:val="nil"/>
              </w:pBdr>
              <w:spacing w:after="60" w:before="60" w:line="240" w:lineRule="auto"/>
              <w:rPr>
                <w:rFonts w:ascii="Arial" w:cs="Arial" w:eastAsia="Arial" w:hAnsi="Arial"/>
                <w:color w:val="000000"/>
                <w:sz w:val="20"/>
                <w:szCs w:val="20"/>
              </w:rPr>
            </w:pPr>
            <w:r w:rsidDel="00000000" w:rsidR="00000000" w:rsidRPr="00000000">
              <w:rPr>
                <w:rFonts w:ascii="Arial" w:cs="Arial" w:eastAsia="Arial" w:hAnsi="Arial"/>
                <w:sz w:val="20"/>
                <w:szCs w:val="20"/>
                <w:rtl w:val="0"/>
              </w:rPr>
              <w:t xml:space="preserve">IFRS Team</w:t>
            </w:r>
            <w:r w:rsidDel="00000000" w:rsidR="00000000" w:rsidRPr="00000000">
              <w:rPr>
                <w:rtl w:val="0"/>
              </w:rPr>
            </w:r>
          </w:p>
        </w:tc>
      </w:tr>
    </w:tbl>
    <w:p w:rsidR="00000000" w:rsidDel="00000000" w:rsidP="00000000" w:rsidRDefault="00000000" w:rsidRPr="00000000" w14:paraId="00000336">
      <w:pPr>
        <w:jc w:val="both"/>
        <w:rPr>
          <w:sz w:val="24"/>
          <w:szCs w:val="24"/>
        </w:rPr>
      </w:pPr>
      <w:r w:rsidDel="00000000" w:rsidR="00000000" w:rsidRPr="00000000">
        <w:rPr>
          <w:rtl w:val="0"/>
        </w:rPr>
      </w:r>
    </w:p>
    <w:sectPr>
      <w:headerReference r:id="rId12" w:type="default"/>
      <w:footerReference r:id="rId13" w:type="default"/>
      <w:pgSz w:h="15840" w:w="1224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Arial"/>
  <w:font w:name="Courier New"/>
  <w:font w:name="Times New Roman"/>
  <w:font w:name="Noto Sans Symbols">
    <w:embedRegular w:fontKey="{00000000-0000-0000-0000-000000000000}" r:id="rId1" w:subsetted="0"/>
    <w:embedBold w:fontKey="{00000000-0000-0000-0000-000000000000}" r:id="rId2" w:subsetted="0"/>
  </w:font>
  <w:font w:name="Cambria Math">
    <w:embedRegular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F">
    <w:pPr>
      <w:widowControl w:val="0"/>
      <w:pBdr>
        <w:top w:space="0" w:sz="0" w:val="nil"/>
        <w:left w:space="0" w:sz="0" w:val="nil"/>
        <w:bottom w:space="0" w:sz="0" w:val="nil"/>
        <w:right w:space="0" w:sz="0" w:val="nil"/>
        <w:between w:space="0" w:sz="0" w:val="nil"/>
      </w:pBdr>
      <w:spacing w:after="0" w:lineRule="auto"/>
      <w:rPr>
        <w:color w:val="000000"/>
      </w:rPr>
    </w:pPr>
    <w:r w:rsidDel="00000000" w:rsidR="00000000" w:rsidRPr="00000000">
      <w:rPr>
        <w:rtl w:val="0"/>
      </w:rPr>
    </w:r>
  </w:p>
  <w:tbl>
    <w:tblPr>
      <w:tblStyle w:val="Table23"/>
      <w:tblpPr w:leftFromText="187" w:rightFromText="187" w:topFromText="0" w:bottomFromText="0" w:vertAnchor="text" w:horzAnchor="text" w:tblpX="0" w:tblpY="0"/>
      <w:tblW w:w="9406.0" w:type="dxa"/>
      <w:jc w:val="left"/>
      <w:tblLayout w:type="fixed"/>
      <w:tblLook w:val="0400"/>
    </w:tblPr>
    <w:tblGrid>
      <w:gridCol w:w="7525"/>
      <w:gridCol w:w="1881"/>
      <w:tblGridChange w:id="0">
        <w:tblGrid>
          <w:gridCol w:w="7525"/>
          <w:gridCol w:w="1881"/>
        </w:tblGrid>
      </w:tblGridChange>
    </w:tblGrid>
    <w:tr>
      <w:trPr>
        <w:cantSplit w:val="0"/>
        <w:trHeight w:val="727" w:hRule="atLeast"/>
        <w:tblHeader w:val="0"/>
      </w:trPr>
      <w:tc>
        <w:tcPr>
          <w:tcBorders>
            <w:right w:color="4f81bd" w:space="0" w:sz="4" w:val="single"/>
          </w:tcBorders>
        </w:tcPr>
        <w:p w:rsidR="00000000" w:rsidDel="00000000" w:rsidP="00000000" w:rsidRDefault="00000000" w:rsidRPr="00000000" w14:paraId="00000340">
          <w:pPr>
            <w:tabs>
              <w:tab w:val="left" w:leader="none" w:pos="620"/>
              <w:tab w:val="center" w:leader="none" w:pos="4320"/>
            </w:tabs>
            <w:jc w:val="right"/>
            <w:rPr>
              <w:rFonts w:ascii="Cambria" w:cs="Cambria" w:eastAsia="Cambria" w:hAnsi="Cambria"/>
              <w:sz w:val="20"/>
              <w:szCs w:val="20"/>
            </w:rPr>
          </w:pPr>
          <w:r w:rsidDel="00000000" w:rsidR="00000000" w:rsidRPr="00000000">
            <w:rPr>
              <w:rtl w:val="0"/>
            </w:rPr>
          </w:r>
        </w:p>
      </w:tc>
      <w:tc>
        <w:tcPr>
          <w:tcBorders>
            <w:left w:color="4f81bd" w:space="0" w:sz="4" w:val="single"/>
          </w:tcBorders>
        </w:tcPr>
        <w:p w:rsidR="00000000" w:rsidDel="00000000" w:rsidP="00000000" w:rsidRDefault="00000000" w:rsidRPr="00000000" w14:paraId="00000341">
          <w:pPr>
            <w:tabs>
              <w:tab w:val="left" w:leader="none" w:pos="1490"/>
            </w:tabs>
            <w:rPr>
              <w:rFonts w:ascii="Cambria" w:cs="Cambria" w:eastAsia="Cambria" w:hAnsi="Cambria"/>
              <w:sz w:val="28"/>
              <w:szCs w:val="28"/>
            </w:rPr>
          </w:pPr>
          <w:r w:rsidDel="00000000" w:rsidR="00000000" w:rsidRPr="00000000">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342">
    <w:pPr>
      <w:pBdr>
        <w:top w:space="0" w:sz="0" w:val="nil"/>
        <w:left w:space="0" w:sz="0" w:val="nil"/>
        <w:bottom w:space="0" w:sz="0" w:val="nil"/>
        <w:right w:space="0" w:sz="0" w:val="nil"/>
        <w:between w:space="0" w:sz="0" w:val="nil"/>
      </w:pBdr>
      <w:tabs>
        <w:tab w:val="center" w:leader="none" w:pos="4536"/>
        <w:tab w:val="right" w:leader="none" w:pos="9072"/>
      </w:tabs>
      <w:spacing w:after="0" w:line="240" w:lineRule="auto"/>
      <w:rPr>
        <w:color w:val="000000"/>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337">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NB : the cost of the sales recognized in "Other revenues on activities" has to be presented in the accounts "Other costs on activities":</w:t>
      </w:r>
    </w:p>
    <w:p w:rsidR="00000000" w:rsidDel="00000000" w:rsidP="00000000" w:rsidRDefault="00000000" w:rsidRPr="00000000" w14:paraId="00000338">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color w:val="000000"/>
          <w:sz w:val="20"/>
          <w:szCs w:val="20"/>
          <w:rtl w:val="0"/>
        </w:rPr>
        <w:t xml:space="preserve">"R26152 - Other costs on activities - Industrial and Administrative &amp; Commercial"</w:t>
      </w:r>
    </w:p>
    <w:p w:rsidR="00000000" w:rsidDel="00000000" w:rsidP="00000000" w:rsidRDefault="00000000" w:rsidRPr="00000000" w14:paraId="00000339">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color w:val="000000"/>
          <w:sz w:val="20"/>
          <w:szCs w:val="20"/>
          <w:rtl w:val="0"/>
        </w:rPr>
        <w:t xml:space="preserve">"R26154 - Other costs on activities - Research"</w:t>
      </w:r>
    </w:p>
    <w:p w:rsidR="00000000" w:rsidDel="00000000" w:rsidP="00000000" w:rsidRDefault="00000000" w:rsidRPr="00000000" w14:paraId="0000033A">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color w:val="000000"/>
          <w:sz w:val="20"/>
          <w:szCs w:val="20"/>
          <w:rtl w:val="0"/>
        </w:rPr>
        <w:t xml:space="preserve">"R26155 - Other costs on activities - Management fees"</w:t>
      </w:r>
    </w:p>
  </w:footnote>
  <w:footnote w:id="1">
    <w:p w:rsidR="00000000" w:rsidDel="00000000" w:rsidP="00000000" w:rsidRDefault="00000000" w:rsidRPr="00000000" w14:paraId="0000033B">
      <w:pPr>
        <w:pBdr>
          <w:top w:space="0" w:sz="0" w:val="nil"/>
          <w:left w:space="0" w:sz="0" w:val="nil"/>
          <w:bottom w:space="0" w:sz="0" w:val="nil"/>
          <w:right w:space="0" w:sz="0" w:val="nil"/>
          <w:between w:space="0" w:sz="0" w:val="nil"/>
        </w:pBdr>
        <w:spacing w:after="0" w:line="240" w:lineRule="auto"/>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Replacement of products does not have an impact on the amount reported in net sales, but quantities are to be considered in management analysis (eg average sales price)</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C">
    <w:pPr>
      <w:widowControl w:val="0"/>
      <w:pBdr>
        <w:top w:space="0" w:sz="0" w:val="nil"/>
        <w:left w:space="0" w:sz="0" w:val="nil"/>
        <w:bottom w:space="0" w:sz="0" w:val="nil"/>
        <w:right w:space="0" w:sz="0" w:val="nil"/>
        <w:between w:space="0" w:sz="0" w:val="nil"/>
      </w:pBdr>
      <w:spacing w:after="0" w:lineRule="auto"/>
      <w:rPr>
        <w:color w:val="000000"/>
        <w:sz w:val="20"/>
        <w:szCs w:val="20"/>
      </w:rPr>
    </w:pPr>
    <w:r w:rsidDel="00000000" w:rsidR="00000000" w:rsidRPr="00000000">
      <w:rPr>
        <w:rtl w:val="0"/>
      </w:rPr>
    </w:r>
  </w:p>
  <w:tbl>
    <w:tblPr>
      <w:tblStyle w:val="Table22"/>
      <w:tblW w:w="9171.0" w:type="dxa"/>
      <w:jc w:val="left"/>
      <w:tblBorders>
        <w:bottom w:color="808080" w:space="0" w:sz="18" w:val="single"/>
        <w:insideV w:color="808080" w:space="0" w:sz="18" w:val="single"/>
      </w:tblBorders>
      <w:tblLayout w:type="fixed"/>
      <w:tblLook w:val="0400"/>
    </w:tblPr>
    <w:tblGrid>
      <w:gridCol w:w="9171"/>
      <w:tblGridChange w:id="0">
        <w:tblGrid>
          <w:gridCol w:w="9171"/>
        </w:tblGrid>
      </w:tblGridChange>
    </w:tblGrid>
    <w:tr>
      <w:trPr>
        <w:cantSplit w:val="0"/>
        <w:trHeight w:val="318" w:hRule="atLeast"/>
        <w:tblHeader w:val="0"/>
      </w:trPr>
      <w:tc>
        <w:tcPr/>
        <w:p w:rsidR="00000000" w:rsidDel="00000000" w:rsidP="00000000" w:rsidRDefault="00000000" w:rsidRPr="00000000" w14:paraId="0000033D">
          <w:pPr>
            <w:pBdr>
              <w:top w:space="0" w:sz="0" w:val="nil"/>
              <w:left w:space="0" w:sz="0" w:val="nil"/>
              <w:bottom w:space="0" w:sz="0" w:val="nil"/>
              <w:right w:space="0" w:sz="0" w:val="nil"/>
              <w:between w:space="0" w:sz="0" w:val="nil"/>
            </w:pBdr>
            <w:tabs>
              <w:tab w:val="center" w:leader="none" w:pos="4536"/>
              <w:tab w:val="right" w:leader="none" w:pos="9072"/>
            </w:tabs>
            <w:spacing w:after="0" w:line="240" w:lineRule="auto"/>
            <w:jc w:val="right"/>
            <w:rPr>
              <w:rFonts w:ascii="Cambria" w:cs="Cambria" w:eastAsia="Cambria" w:hAnsi="Cambria"/>
              <w:color w:val="000000"/>
              <w:sz w:val="36"/>
              <w:szCs w:val="36"/>
            </w:rPr>
          </w:pPr>
          <w:r w:rsidDel="00000000" w:rsidR="00000000" w:rsidRPr="00000000">
            <w:rPr>
              <w:rFonts w:ascii="Cambria" w:cs="Cambria" w:eastAsia="Cambria" w:hAnsi="Cambria"/>
              <w:color w:val="000000"/>
              <w:sz w:val="36"/>
              <w:szCs w:val="36"/>
              <w:rtl w:val="0"/>
            </w:rPr>
            <w:t xml:space="preserve">FRG - IFRS 15 Revenue from Contracts with Customers</w:t>
          </w:r>
        </w:p>
      </w:tc>
    </w:tr>
  </w:tbl>
  <w:p w:rsidR="00000000" w:rsidDel="00000000" w:rsidP="00000000" w:rsidRDefault="00000000" w:rsidRPr="00000000" w14:paraId="0000033E">
    <w:pPr>
      <w:pBdr>
        <w:top w:space="0" w:sz="0" w:val="nil"/>
        <w:left w:space="0" w:sz="0" w:val="nil"/>
        <w:bottom w:space="0" w:sz="0" w:val="nil"/>
        <w:right w:space="0" w:sz="0" w:val="nil"/>
        <w:between w:space="0" w:sz="0" w:val="nil"/>
      </w:pBdr>
      <w:tabs>
        <w:tab w:val="center" w:leader="none" w:pos="4536"/>
        <w:tab w:val="right" w:leader="none" w:pos="9072"/>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
    <w:lvl w:ilvl="0">
      <w:start w:val="1"/>
      <w:numFmt w:val="lowerRoman"/>
      <w:lvlText w:val="%1."/>
      <w:lvlJc w:val="righ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8">
    <w:lvl w:ilvl="0">
      <w:start w:val="0"/>
      <w:numFmt w:val="bullet"/>
      <w:lvlText w:val="-"/>
      <w:lvlJc w:val="left"/>
      <w:pPr>
        <w:ind w:left="360" w:hanging="360"/>
      </w:pPr>
      <w:rPr>
        <w:rFonts w:ascii="Calibri" w:cs="Calibri" w:eastAsia="Calibri" w:hAnsi="Calibri"/>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9">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lowerLetter"/>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1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2">
    <w:lvl w:ilvl="0">
      <w:start w:val="1"/>
      <w:numFmt w:val="lowerRoman"/>
      <w:lvlText w:val="%1."/>
      <w:lvlJc w:val="righ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6">
    <w:lvl w:ilvl="0">
      <w:start w:val="1"/>
      <w:numFmt w:val="bullet"/>
      <w:lvlText w:val="-"/>
      <w:lvlJc w:val="left"/>
      <w:pPr>
        <w:ind w:left="720" w:hanging="360"/>
      </w:pPr>
      <w:rPr>
        <w:rFonts w:ascii="Times New Roman" w:cs="Times New Roman" w:eastAsia="Times New Roman" w:hAnsi="Times New Roman"/>
      </w:rPr>
    </w:lvl>
    <w:lvl w:ilvl="1">
      <w:start w:val="1"/>
      <w:numFmt w:val="bullet"/>
      <w:lvlText w:val="-"/>
      <w:lvlJc w:val="left"/>
      <w:pPr>
        <w:ind w:left="1440" w:hanging="360"/>
      </w:pPr>
      <w:rPr>
        <w:rFonts w:ascii="Times New Roman" w:cs="Times New Roman" w:eastAsia="Times New Roman" w:hAnsi="Times New Roman"/>
      </w:rPr>
    </w:lvl>
    <w:lvl w:ilvl="2">
      <w:start w:val="1"/>
      <w:numFmt w:val="bullet"/>
      <w:lvlText w:val="-"/>
      <w:lvlJc w:val="left"/>
      <w:pPr>
        <w:ind w:left="2160" w:hanging="360"/>
      </w:pPr>
      <w:rPr>
        <w:rFonts w:ascii="Times New Roman" w:cs="Times New Roman" w:eastAsia="Times New Roman" w:hAnsi="Times New Roman"/>
      </w:rPr>
    </w:lvl>
    <w:lvl w:ilvl="3">
      <w:start w:val="1"/>
      <w:numFmt w:val="bullet"/>
      <w:lvlText w:val="-"/>
      <w:lvlJc w:val="left"/>
      <w:pPr>
        <w:ind w:left="2880" w:hanging="360"/>
      </w:pPr>
      <w:rPr>
        <w:rFonts w:ascii="Times New Roman" w:cs="Times New Roman" w:eastAsia="Times New Roman" w:hAnsi="Times New Roman"/>
      </w:rPr>
    </w:lvl>
    <w:lvl w:ilvl="4">
      <w:start w:val="1"/>
      <w:numFmt w:val="bullet"/>
      <w:lvlText w:val="-"/>
      <w:lvlJc w:val="left"/>
      <w:pPr>
        <w:ind w:left="3600" w:hanging="360"/>
      </w:pPr>
      <w:rPr>
        <w:rFonts w:ascii="Times New Roman" w:cs="Times New Roman" w:eastAsia="Times New Roman" w:hAnsi="Times New Roman"/>
      </w:rPr>
    </w:lvl>
    <w:lvl w:ilvl="5">
      <w:start w:val="1"/>
      <w:numFmt w:val="bullet"/>
      <w:lvlText w:val="-"/>
      <w:lvlJc w:val="left"/>
      <w:pPr>
        <w:ind w:left="4320" w:hanging="360"/>
      </w:pPr>
      <w:rPr>
        <w:rFonts w:ascii="Times New Roman" w:cs="Times New Roman" w:eastAsia="Times New Roman" w:hAnsi="Times New Roman"/>
      </w:rPr>
    </w:lvl>
    <w:lvl w:ilvl="6">
      <w:start w:val="1"/>
      <w:numFmt w:val="bullet"/>
      <w:lvlText w:val="-"/>
      <w:lvlJc w:val="left"/>
      <w:pPr>
        <w:ind w:left="5040" w:hanging="360"/>
      </w:pPr>
      <w:rPr>
        <w:rFonts w:ascii="Times New Roman" w:cs="Times New Roman" w:eastAsia="Times New Roman" w:hAnsi="Times New Roman"/>
      </w:rPr>
    </w:lvl>
    <w:lvl w:ilvl="7">
      <w:start w:val="1"/>
      <w:numFmt w:val="bullet"/>
      <w:lvlText w:val="-"/>
      <w:lvlJc w:val="left"/>
      <w:pPr>
        <w:ind w:left="5760" w:hanging="360"/>
      </w:pPr>
      <w:rPr>
        <w:rFonts w:ascii="Times New Roman" w:cs="Times New Roman" w:eastAsia="Times New Roman" w:hAnsi="Times New Roman"/>
      </w:rPr>
    </w:lvl>
    <w:lvl w:ilvl="8">
      <w:start w:val="1"/>
      <w:numFmt w:val="bullet"/>
      <w:lvlText w:val="-"/>
      <w:lvlJc w:val="left"/>
      <w:pPr>
        <w:ind w:left="6480" w:hanging="360"/>
      </w:pPr>
      <w:rPr>
        <w:rFonts w:ascii="Times New Roman" w:cs="Times New Roman" w:eastAsia="Times New Roman" w:hAnsi="Times New Roman"/>
      </w:rPr>
    </w:lvl>
  </w:abstractNum>
  <w:abstractNum w:abstractNumId="17">
    <w:lvl w:ilvl="0">
      <w:start w:val="1"/>
      <w:numFmt w:val="bullet"/>
      <w:lvlText w:val="o"/>
      <w:lvlJc w:val="left"/>
      <w:pPr>
        <w:ind w:left="720" w:hanging="360"/>
      </w:pPr>
      <w:rPr>
        <w:rFonts w:ascii="Courier New" w:cs="Courier New" w:eastAsia="Courier New" w:hAnsi="Courier New"/>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8">
    <w:lvl w:ilvl="0">
      <w:start w:val="1"/>
      <w:numFmt w:val="bullet"/>
      <w:lvlText w:val="o"/>
      <w:lvlJc w:val="left"/>
      <w:pPr>
        <w:ind w:left="720" w:hanging="360"/>
      </w:pPr>
      <w:rPr>
        <w:rFonts w:ascii="Courier New" w:cs="Courier New" w:eastAsia="Courier New" w:hAnsi="Courier New"/>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3">
    <w:lvl w:ilvl="0">
      <w:start w:val="1"/>
      <w:numFmt w:val="decimal"/>
      <w:lvlText w:val="%1."/>
      <w:lvlJc w:val="left"/>
      <w:pPr>
        <w:ind w:left="720" w:hanging="360"/>
      </w:pPr>
      <w:rPr/>
    </w:lvl>
    <w:lvl w:ilvl="1">
      <w:start w:val="5"/>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5">
    <w:lvl w:ilvl="0">
      <w:start w:val="1"/>
      <w:numFmt w:val="bullet"/>
      <w:lvlText w:val="●"/>
      <w:lvlJc w:val="left"/>
      <w:pPr>
        <w:ind w:left="774" w:hanging="358.99999999999994"/>
      </w:pPr>
      <w:rPr>
        <w:rFonts w:ascii="Noto Sans Symbols" w:cs="Noto Sans Symbols" w:eastAsia="Noto Sans Symbols" w:hAnsi="Noto Sans Symbols"/>
      </w:rPr>
    </w:lvl>
    <w:lvl w:ilvl="1">
      <w:start w:val="1"/>
      <w:numFmt w:val="bullet"/>
      <w:lvlText w:val="o"/>
      <w:lvlJc w:val="left"/>
      <w:pPr>
        <w:ind w:left="1494" w:hanging="360"/>
      </w:pPr>
      <w:rPr>
        <w:rFonts w:ascii="Courier New" w:cs="Courier New" w:eastAsia="Courier New" w:hAnsi="Courier New"/>
      </w:rPr>
    </w:lvl>
    <w:lvl w:ilvl="2">
      <w:start w:val="1"/>
      <w:numFmt w:val="bullet"/>
      <w:lvlText w:val="▪"/>
      <w:lvlJc w:val="left"/>
      <w:pPr>
        <w:ind w:left="2214" w:hanging="360"/>
      </w:pPr>
      <w:rPr>
        <w:rFonts w:ascii="Noto Sans Symbols" w:cs="Noto Sans Symbols" w:eastAsia="Noto Sans Symbols" w:hAnsi="Noto Sans Symbols"/>
      </w:rPr>
    </w:lvl>
    <w:lvl w:ilvl="3">
      <w:start w:val="1"/>
      <w:numFmt w:val="bullet"/>
      <w:lvlText w:val="●"/>
      <w:lvlJc w:val="left"/>
      <w:pPr>
        <w:ind w:left="2934" w:hanging="360"/>
      </w:pPr>
      <w:rPr>
        <w:rFonts w:ascii="Noto Sans Symbols" w:cs="Noto Sans Symbols" w:eastAsia="Noto Sans Symbols" w:hAnsi="Noto Sans Symbols"/>
      </w:rPr>
    </w:lvl>
    <w:lvl w:ilvl="4">
      <w:start w:val="1"/>
      <w:numFmt w:val="bullet"/>
      <w:lvlText w:val="o"/>
      <w:lvlJc w:val="left"/>
      <w:pPr>
        <w:ind w:left="3654" w:hanging="360"/>
      </w:pPr>
      <w:rPr>
        <w:rFonts w:ascii="Courier New" w:cs="Courier New" w:eastAsia="Courier New" w:hAnsi="Courier New"/>
      </w:rPr>
    </w:lvl>
    <w:lvl w:ilvl="5">
      <w:start w:val="1"/>
      <w:numFmt w:val="bullet"/>
      <w:lvlText w:val="▪"/>
      <w:lvlJc w:val="left"/>
      <w:pPr>
        <w:ind w:left="4374" w:hanging="360"/>
      </w:pPr>
      <w:rPr>
        <w:rFonts w:ascii="Noto Sans Symbols" w:cs="Noto Sans Symbols" w:eastAsia="Noto Sans Symbols" w:hAnsi="Noto Sans Symbols"/>
      </w:rPr>
    </w:lvl>
    <w:lvl w:ilvl="6">
      <w:start w:val="1"/>
      <w:numFmt w:val="bullet"/>
      <w:lvlText w:val="●"/>
      <w:lvlJc w:val="left"/>
      <w:pPr>
        <w:ind w:left="5094" w:hanging="360"/>
      </w:pPr>
      <w:rPr>
        <w:rFonts w:ascii="Noto Sans Symbols" w:cs="Noto Sans Symbols" w:eastAsia="Noto Sans Symbols" w:hAnsi="Noto Sans Symbols"/>
      </w:rPr>
    </w:lvl>
    <w:lvl w:ilvl="7">
      <w:start w:val="1"/>
      <w:numFmt w:val="bullet"/>
      <w:lvlText w:val="o"/>
      <w:lvlJc w:val="left"/>
      <w:pPr>
        <w:ind w:left="5814" w:hanging="360"/>
      </w:pPr>
      <w:rPr>
        <w:rFonts w:ascii="Courier New" w:cs="Courier New" w:eastAsia="Courier New" w:hAnsi="Courier New"/>
      </w:rPr>
    </w:lvl>
    <w:lvl w:ilvl="8">
      <w:start w:val="1"/>
      <w:numFmt w:val="bullet"/>
      <w:lvlText w:val="▪"/>
      <w:lvlJc w:val="left"/>
      <w:pPr>
        <w:ind w:left="6534" w:hanging="360"/>
      </w:pPr>
      <w:rPr>
        <w:rFonts w:ascii="Noto Sans Symbols" w:cs="Noto Sans Symbols" w:eastAsia="Noto Sans Symbols" w:hAnsi="Noto Sans Symbols"/>
      </w:rPr>
    </w:lvl>
  </w:abstractNum>
  <w:abstractNum w:abstractNumId="2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9">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2">
    <w:lvl w:ilvl="0">
      <w:start w:val="1"/>
      <w:numFmt w:val="lowerLetter"/>
      <w:lvlText w:val="%1."/>
      <w:lvlJc w:val="left"/>
      <w:pPr>
        <w:ind w:left="144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4">
    <w:lvl w:ilvl="0">
      <w:start w:val="1"/>
      <w:numFmt w:val="decimal"/>
      <w:lvlText w:val="%1."/>
      <w:lvlJc w:val="left"/>
      <w:pPr>
        <w:ind w:left="720" w:hanging="360"/>
      </w:pPr>
      <w:rPr/>
    </w:lvl>
    <w:lvl w:ilvl="1">
      <w:start w:val="1"/>
      <w:numFmt w:val="lowerRoman"/>
      <w:lvlText w:val="%2."/>
      <w:lvlJc w:val="left"/>
      <w:pPr>
        <w:ind w:left="1800" w:hanging="72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480" w:lineRule="auto"/>
      <w:ind w:left="720" w:hanging="360"/>
    </w:pPr>
    <w:rPr>
      <w:rFonts w:ascii="Cambria" w:cs="Cambria" w:eastAsia="Cambria" w:hAnsi="Cambria"/>
      <w:b w:val="1"/>
      <w:bCs w:val="1"/>
      <w:color w:val="ff6540"/>
      <w:sz w:val="28"/>
      <w:szCs w:val="28"/>
    </w:rPr>
  </w:style>
  <w:style w:type="paragraph" w:styleId="Heading2">
    <w:name w:val="heading 2"/>
    <w:basedOn w:val="Normal"/>
    <w:next w:val="Normal"/>
    <w:pPr>
      <w:keepNext w:val="1"/>
      <w:keepLines w:val="1"/>
      <w:spacing w:after="0" w:before="200" w:lineRule="auto"/>
      <w:ind w:left="1440" w:hanging="360"/>
    </w:pPr>
    <w:rPr>
      <w:rFonts w:ascii="Cambria" w:cs="Cambria" w:eastAsia="Cambria" w:hAnsi="Cambria"/>
      <w:b w:val="1"/>
      <w:bCs w:val="1"/>
      <w:color w:val="ff6540"/>
      <w:sz w:val="26"/>
      <w:szCs w:val="26"/>
    </w:rPr>
  </w:style>
  <w:style w:type="paragraph" w:styleId="Heading3">
    <w:name w:val="heading 3"/>
    <w:basedOn w:val="Normal"/>
    <w:next w:val="Normal"/>
    <w:pPr>
      <w:keepNext w:val="1"/>
      <w:keepLines w:val="1"/>
      <w:spacing w:after="0" w:before="200" w:lineRule="auto"/>
      <w:ind w:left="426" w:hanging="360"/>
    </w:pPr>
    <w:rPr>
      <w:rFonts w:ascii="Cambria" w:cs="Cambria" w:eastAsia="Cambria" w:hAnsi="Cambria"/>
      <w:b w:val="1"/>
      <w:bCs w:val="1"/>
      <w:color w:val="ff6540"/>
    </w:rPr>
  </w:style>
  <w:style w:type="paragraph" w:styleId="Heading4">
    <w:name w:val="heading 4"/>
    <w:basedOn w:val="Normal"/>
    <w:next w:val="Normal"/>
    <w:pPr>
      <w:keepNext w:val="1"/>
      <w:keepLines w:val="1"/>
      <w:spacing w:after="0" w:before="200" w:lineRule="auto"/>
      <w:ind w:firstLine="142"/>
    </w:pPr>
    <w:rPr>
      <w:rFonts w:ascii="Cambria" w:cs="Cambria" w:eastAsia="Cambria" w:hAnsi="Cambria"/>
      <w:b w:val="1"/>
      <w:bCs w:val="1"/>
      <w:i w:val="1"/>
      <w:iCs w:val="1"/>
      <w:color w:val="ff6540"/>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B349A7"/>
    <w:pPr>
      <w:ind w:left="720"/>
      <w:contextualSpacing w:val="1"/>
    </w:pPr>
  </w:style>
  <w:style w:type="paragraph" w:styleId="BalloonText">
    <w:name w:val="Balloon Text"/>
    <w:basedOn w:val="Normal"/>
    <w:link w:val="BalloonTextChar"/>
    <w:uiPriority w:val="99"/>
    <w:semiHidden w:val="1"/>
    <w:unhideWhenUsed w:val="1"/>
    <w:rsid w:val="00023E6E"/>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023E6E"/>
    <w:rPr>
      <w:rFonts w:ascii="Tahoma" w:cs="Tahoma" w:hAnsi="Tahoma"/>
      <w:sz w:val="16"/>
      <w:szCs w:val="16"/>
    </w:rPr>
  </w:style>
  <w:style w:type="table" w:styleId="TableGrid">
    <w:name w:val="Table Grid"/>
    <w:basedOn w:val="TableNormal"/>
    <w:uiPriority w:val="59"/>
    <w:rsid w:val="00C26AA0"/>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Header">
    <w:name w:val="header"/>
    <w:basedOn w:val="Normal"/>
    <w:link w:val="HeaderChar"/>
    <w:uiPriority w:val="99"/>
    <w:unhideWhenUsed w:val="1"/>
    <w:rsid w:val="00D06934"/>
    <w:pPr>
      <w:tabs>
        <w:tab w:val="center" w:pos="4536"/>
        <w:tab w:val="right" w:pos="9072"/>
      </w:tabs>
      <w:spacing w:after="0" w:line="240" w:lineRule="auto"/>
    </w:pPr>
  </w:style>
  <w:style w:type="character" w:styleId="HeaderChar" w:customStyle="1">
    <w:name w:val="Header Char"/>
    <w:basedOn w:val="DefaultParagraphFont"/>
    <w:link w:val="Header"/>
    <w:uiPriority w:val="99"/>
    <w:rsid w:val="00D06934"/>
  </w:style>
  <w:style w:type="paragraph" w:styleId="Footer">
    <w:name w:val="footer"/>
    <w:basedOn w:val="Normal"/>
    <w:link w:val="FooterChar"/>
    <w:uiPriority w:val="99"/>
    <w:unhideWhenUsed w:val="1"/>
    <w:rsid w:val="00D06934"/>
    <w:pPr>
      <w:tabs>
        <w:tab w:val="center" w:pos="4536"/>
        <w:tab w:val="right" w:pos="9072"/>
      </w:tabs>
      <w:spacing w:after="0" w:line="240" w:lineRule="auto"/>
    </w:pPr>
  </w:style>
  <w:style w:type="character" w:styleId="FooterChar" w:customStyle="1">
    <w:name w:val="Footer Char"/>
    <w:basedOn w:val="DefaultParagraphFont"/>
    <w:link w:val="Footer"/>
    <w:uiPriority w:val="99"/>
    <w:rsid w:val="00D06934"/>
  </w:style>
  <w:style w:type="character" w:styleId="Heading1Char" w:customStyle="1">
    <w:name w:val="Heading 1 Char"/>
    <w:basedOn w:val="DefaultParagraphFont"/>
    <w:link w:val="Heading1"/>
    <w:uiPriority w:val="9"/>
    <w:rsid w:val="00D06934"/>
    <w:rPr>
      <w:rFonts w:asciiTheme="majorHAnsi" w:cstheme="majorBidi" w:eastAsiaTheme="majorEastAsia" w:hAnsiTheme="majorHAnsi"/>
      <w:b w:val="1"/>
      <w:bCs w:val="1"/>
      <w:color w:val="365f91" w:themeColor="accent1" w:themeShade="0000BF"/>
      <w:sz w:val="28"/>
      <w:szCs w:val="28"/>
    </w:rPr>
  </w:style>
  <w:style w:type="paragraph" w:styleId="TOCHeading">
    <w:name w:val="TOC Heading"/>
    <w:basedOn w:val="Heading1"/>
    <w:next w:val="Normal"/>
    <w:uiPriority w:val="39"/>
    <w:semiHidden w:val="1"/>
    <w:unhideWhenUsed w:val="1"/>
    <w:qFormat w:val="1"/>
    <w:rsid w:val="00D06934"/>
    <w:pPr>
      <w:outlineLvl w:val="9"/>
    </w:pPr>
    <w:rPr>
      <w:lang w:eastAsia="ja-JP"/>
    </w:rPr>
  </w:style>
  <w:style w:type="paragraph" w:styleId="TOC1">
    <w:name w:val="toc 1"/>
    <w:basedOn w:val="Normal"/>
    <w:next w:val="Normal"/>
    <w:autoRedefine w:val="1"/>
    <w:uiPriority w:val="39"/>
    <w:unhideWhenUsed w:val="1"/>
    <w:rsid w:val="00D06934"/>
    <w:pPr>
      <w:spacing w:after="100"/>
    </w:pPr>
  </w:style>
  <w:style w:type="character" w:styleId="Hyperlink">
    <w:name w:val="Hyperlink"/>
    <w:basedOn w:val="DefaultParagraphFont"/>
    <w:uiPriority w:val="99"/>
    <w:unhideWhenUsed w:val="1"/>
    <w:rsid w:val="00D06934"/>
    <w:rPr>
      <w:color w:val="0000ff" w:themeColor="hyperlink"/>
      <w:u w:val="single"/>
    </w:rPr>
  </w:style>
  <w:style w:type="character" w:styleId="Heading2Char" w:customStyle="1">
    <w:name w:val="Heading 2 Char"/>
    <w:basedOn w:val="DefaultParagraphFont"/>
    <w:link w:val="Heading2"/>
    <w:uiPriority w:val="9"/>
    <w:rsid w:val="00D06934"/>
    <w:rPr>
      <w:rFonts w:asciiTheme="majorHAnsi" w:cstheme="majorBidi" w:eastAsiaTheme="majorEastAsia" w:hAnsiTheme="majorHAnsi"/>
      <w:b w:val="1"/>
      <w:bCs w:val="1"/>
      <w:color w:val="4f81bd" w:themeColor="accent1"/>
      <w:sz w:val="26"/>
      <w:szCs w:val="26"/>
    </w:rPr>
  </w:style>
  <w:style w:type="paragraph" w:styleId="TOC2">
    <w:name w:val="toc 2"/>
    <w:basedOn w:val="Normal"/>
    <w:next w:val="Normal"/>
    <w:autoRedefine w:val="1"/>
    <w:uiPriority w:val="39"/>
    <w:unhideWhenUsed w:val="1"/>
    <w:rsid w:val="00D06934"/>
    <w:pPr>
      <w:spacing w:after="100"/>
      <w:ind w:left="220"/>
    </w:pPr>
  </w:style>
  <w:style w:type="character" w:styleId="SubtitleChar" w:customStyle="1">
    <w:name w:val="Subtitle Char"/>
    <w:basedOn w:val="DefaultParagraphFont"/>
    <w:link w:val="Subtitle"/>
    <w:uiPriority w:val="11"/>
    <w:rsid w:val="007F6A86"/>
    <w:rPr>
      <w:rFonts w:asciiTheme="majorHAnsi" w:cstheme="majorBidi" w:eastAsiaTheme="majorEastAsia" w:hAnsiTheme="majorHAnsi"/>
      <w:i w:val="1"/>
      <w:iCs w:val="1"/>
      <w:color w:val="4f81bd" w:themeColor="accent1"/>
      <w:spacing w:val="15"/>
      <w:sz w:val="24"/>
      <w:szCs w:val="24"/>
    </w:rPr>
  </w:style>
  <w:style w:type="character" w:styleId="Heading3Char" w:customStyle="1">
    <w:name w:val="Heading 3 Char"/>
    <w:basedOn w:val="DefaultParagraphFont"/>
    <w:link w:val="Heading3"/>
    <w:uiPriority w:val="9"/>
    <w:rsid w:val="007F6A86"/>
    <w:rPr>
      <w:rFonts w:asciiTheme="majorHAnsi" w:cstheme="majorBidi" w:eastAsiaTheme="majorEastAsia" w:hAnsiTheme="majorHAnsi"/>
      <w:b w:val="1"/>
      <w:bCs w:val="1"/>
      <w:color w:val="4f81bd" w:themeColor="accent1"/>
    </w:rPr>
  </w:style>
  <w:style w:type="character" w:styleId="Heading4Char" w:customStyle="1">
    <w:name w:val="Heading 4 Char"/>
    <w:basedOn w:val="DefaultParagraphFont"/>
    <w:link w:val="Heading4"/>
    <w:uiPriority w:val="9"/>
    <w:rsid w:val="007F6A86"/>
    <w:rPr>
      <w:rFonts w:asciiTheme="majorHAnsi" w:cstheme="majorBidi" w:eastAsiaTheme="majorEastAsia" w:hAnsiTheme="majorHAnsi"/>
      <w:b w:val="1"/>
      <w:bCs w:val="1"/>
      <w:i w:val="1"/>
      <w:iCs w:val="1"/>
      <w:color w:val="4f81bd" w:themeColor="accent1"/>
    </w:rPr>
  </w:style>
  <w:style w:type="character" w:styleId="IntenseEmphasis">
    <w:name w:val="Intense Emphasis"/>
    <w:basedOn w:val="DefaultParagraphFont"/>
    <w:uiPriority w:val="21"/>
    <w:qFormat w:val="1"/>
    <w:rsid w:val="00224C35"/>
    <w:rPr>
      <w:b w:val="1"/>
      <w:bCs w:val="1"/>
      <w:i w:val="1"/>
      <w:iCs w:val="1"/>
      <w:color w:val="4f81bd" w:themeColor="accent1"/>
    </w:rPr>
  </w:style>
  <w:style w:type="character" w:styleId="CommentReference">
    <w:name w:val="annotation reference"/>
    <w:basedOn w:val="DefaultParagraphFont"/>
    <w:uiPriority w:val="99"/>
    <w:semiHidden w:val="1"/>
    <w:unhideWhenUsed w:val="1"/>
    <w:rsid w:val="003F3884"/>
    <w:rPr>
      <w:sz w:val="16"/>
      <w:szCs w:val="16"/>
    </w:rPr>
  </w:style>
  <w:style w:type="paragraph" w:styleId="CommentText">
    <w:name w:val="annotation text"/>
    <w:basedOn w:val="Normal"/>
    <w:link w:val="CommentTextChar"/>
    <w:uiPriority w:val="99"/>
    <w:unhideWhenUsed w:val="1"/>
    <w:rsid w:val="003F3884"/>
    <w:pPr>
      <w:spacing w:line="240" w:lineRule="auto"/>
    </w:pPr>
    <w:rPr>
      <w:sz w:val="20"/>
      <w:szCs w:val="20"/>
    </w:rPr>
  </w:style>
  <w:style w:type="character" w:styleId="CommentTextChar" w:customStyle="1">
    <w:name w:val="Comment Text Char"/>
    <w:basedOn w:val="DefaultParagraphFont"/>
    <w:link w:val="CommentText"/>
    <w:uiPriority w:val="99"/>
    <w:rsid w:val="003F3884"/>
    <w:rPr>
      <w:sz w:val="20"/>
      <w:szCs w:val="20"/>
    </w:rPr>
  </w:style>
  <w:style w:type="paragraph" w:styleId="CommentSubject">
    <w:name w:val="annotation subject"/>
    <w:basedOn w:val="CommentText"/>
    <w:next w:val="CommentText"/>
    <w:link w:val="CommentSubjectChar"/>
    <w:uiPriority w:val="99"/>
    <w:semiHidden w:val="1"/>
    <w:unhideWhenUsed w:val="1"/>
    <w:rsid w:val="003F3884"/>
    <w:rPr>
      <w:b w:val="1"/>
      <w:bCs w:val="1"/>
    </w:rPr>
  </w:style>
  <w:style w:type="character" w:styleId="CommentSubjectChar" w:customStyle="1">
    <w:name w:val="Comment Subject Char"/>
    <w:basedOn w:val="CommentTextChar"/>
    <w:link w:val="CommentSubject"/>
    <w:uiPriority w:val="99"/>
    <w:semiHidden w:val="1"/>
    <w:rsid w:val="003F3884"/>
    <w:rPr>
      <w:b w:val="1"/>
      <w:bCs w:val="1"/>
      <w:sz w:val="20"/>
      <w:szCs w:val="20"/>
    </w:rPr>
  </w:style>
  <w:style w:type="table" w:styleId="LightList-Accent5">
    <w:name w:val="Light List Accent 5"/>
    <w:basedOn w:val="TableNormal"/>
    <w:uiPriority w:val="61"/>
    <w:rsid w:val="00432C89"/>
    <w:pPr>
      <w:spacing w:after="0" w:line="240" w:lineRule="auto"/>
    </w:pPr>
    <w:tblPr>
      <w:tblStyleRowBandSize w:val="1"/>
      <w:tblStyleColBandSize w:val="1"/>
      <w:tblBorders>
        <w:top w:color="4bacc6" w:space="0" w:sz="8" w:themeColor="accent5" w:val="single"/>
        <w:left w:color="4bacc6" w:space="0" w:sz="8" w:themeColor="accent5" w:val="single"/>
        <w:bottom w:color="4bacc6" w:space="0" w:sz="8" w:themeColor="accent5" w:val="single"/>
        <w:right w:color="4bacc6" w:space="0" w:sz="8" w:themeColor="accent5" w:val="single"/>
      </w:tblBorders>
    </w:tblPr>
    <w:tblStylePr w:type="firstRow">
      <w:pPr>
        <w:spacing w:after="0" w:before="0" w:line="240" w:lineRule="auto"/>
      </w:pPr>
      <w:rPr>
        <w:b w:val="1"/>
        <w:bCs w:val="1"/>
        <w:color w:val="ffffff" w:themeColor="background1"/>
      </w:rPr>
      <w:tblPr/>
      <w:tcPr>
        <w:shd w:color="auto" w:fill="4bacc6" w:themeFill="accent5" w:val="clear"/>
      </w:tcPr>
    </w:tblStylePr>
    <w:tblStylePr w:type="lastRow">
      <w:pPr>
        <w:spacing w:after="0" w:before="0" w:line="240" w:lineRule="auto"/>
      </w:pPr>
      <w:rPr>
        <w:b w:val="1"/>
        <w:bCs w:val="1"/>
      </w:rPr>
      <w:tblPr/>
      <w:tcPr>
        <w:tcBorders>
          <w:top w:color="4bacc6" w:space="0" w:sz="6" w:themeColor="accent5" w:val="double"/>
          <w:left w:color="4bacc6" w:space="0" w:sz="8" w:themeColor="accent5" w:val="single"/>
          <w:bottom w:color="4bacc6" w:space="0" w:sz="8" w:themeColor="accent5" w:val="single"/>
          <w:right w:color="4bacc6" w:space="0" w:sz="8" w:themeColor="accent5" w:val="single"/>
        </w:tcBorders>
      </w:tcPr>
    </w:tblStylePr>
    <w:tblStylePr w:type="firstCol">
      <w:rPr>
        <w:b w:val="1"/>
        <w:bCs w:val="1"/>
      </w:rPr>
    </w:tblStylePr>
    <w:tblStylePr w:type="lastCol">
      <w:rPr>
        <w:b w:val="1"/>
        <w:bCs w:val="1"/>
      </w:rPr>
    </w:tblStylePr>
    <w:tblStylePr w:type="band1Vert">
      <w:tblPr/>
      <w:tcPr>
        <w:tcBorders>
          <w:top w:color="4bacc6" w:space="0" w:sz="8" w:themeColor="accent5" w:val="single"/>
          <w:left w:color="4bacc6" w:space="0" w:sz="8" w:themeColor="accent5" w:val="single"/>
          <w:bottom w:color="4bacc6" w:space="0" w:sz="8" w:themeColor="accent5" w:val="single"/>
          <w:right w:color="4bacc6" w:space="0" w:sz="8" w:themeColor="accent5" w:val="single"/>
        </w:tcBorders>
      </w:tcPr>
    </w:tblStylePr>
    <w:tblStylePr w:type="band1Horz">
      <w:tblPr/>
      <w:tcPr>
        <w:tcBorders>
          <w:top w:color="4bacc6" w:space="0" w:sz="8" w:themeColor="accent5" w:val="single"/>
          <w:left w:color="4bacc6" w:space="0" w:sz="8" w:themeColor="accent5" w:val="single"/>
          <w:bottom w:color="4bacc6" w:space="0" w:sz="8" w:themeColor="accent5" w:val="single"/>
          <w:right w:color="4bacc6" w:space="0" w:sz="8" w:themeColor="accent5" w:val="single"/>
        </w:tcBorders>
      </w:tcPr>
    </w:tblStylePr>
  </w:style>
  <w:style w:type="paragraph" w:styleId="TOC3">
    <w:name w:val="toc 3"/>
    <w:basedOn w:val="Normal"/>
    <w:next w:val="Normal"/>
    <w:autoRedefine w:val="1"/>
    <w:uiPriority w:val="39"/>
    <w:unhideWhenUsed w:val="1"/>
    <w:rsid w:val="00432C89"/>
    <w:pPr>
      <w:spacing w:after="100"/>
      <w:ind w:left="440"/>
    </w:pPr>
  </w:style>
  <w:style w:type="table" w:styleId="MediumShading1-Accent5">
    <w:name w:val="Medium Shading 1 Accent 5"/>
    <w:basedOn w:val="TableNormal"/>
    <w:uiPriority w:val="63"/>
    <w:rsid w:val="003E67AA"/>
    <w:pPr>
      <w:spacing w:after="0" w:line="240" w:lineRule="auto"/>
    </w:pPr>
    <w:rPr>
      <w:rFonts w:eastAsiaTheme="minorEastAsia"/>
    </w:rPr>
    <w:tblPr>
      <w:tblStyleRowBandSize w:val="1"/>
      <w:tblStyleColBandSize w:val="1"/>
      <w:tblBorders>
        <w:top w:color="78c0d4" w:space="0" w:sz="8" w:themeColor="accent5" w:themeTint="0000BF" w:val="single"/>
        <w:left w:color="78c0d4" w:space="0" w:sz="8" w:themeColor="accent5" w:themeTint="0000BF" w:val="single"/>
        <w:bottom w:color="78c0d4" w:space="0" w:sz="8" w:themeColor="accent5" w:themeTint="0000BF" w:val="single"/>
        <w:right w:color="78c0d4" w:space="0" w:sz="8" w:themeColor="accent5" w:themeTint="0000BF" w:val="single"/>
        <w:insideH w:color="78c0d4" w:space="0" w:sz="8" w:themeColor="accent5" w:themeTint="0000BF" w:val="single"/>
      </w:tblBorders>
    </w:tblPr>
    <w:tblStylePr w:type="firstRow">
      <w:pPr>
        <w:spacing w:after="0" w:before="0" w:line="240" w:lineRule="auto"/>
      </w:pPr>
      <w:rPr>
        <w:b w:val="1"/>
        <w:bCs w:val="1"/>
        <w:color w:val="ffffff" w:themeColor="background1"/>
      </w:rPr>
      <w:tblPr/>
      <w:tcPr>
        <w:tcBorders>
          <w:top w:color="78c0d4" w:space="0" w:sz="8" w:themeColor="accent5" w:themeTint="0000BF" w:val="single"/>
          <w:left w:color="78c0d4" w:space="0" w:sz="8" w:themeColor="accent5" w:themeTint="0000BF" w:val="single"/>
          <w:bottom w:color="78c0d4" w:space="0" w:sz="8" w:themeColor="accent5" w:themeTint="0000BF" w:val="single"/>
          <w:right w:color="78c0d4" w:space="0" w:sz="8" w:themeColor="accent5" w:themeTint="0000BF" w:val="single"/>
          <w:insideH w:space="0" w:sz="0" w:val="nil"/>
          <w:insideV w:space="0" w:sz="0" w:val="nil"/>
        </w:tcBorders>
        <w:shd w:color="auto" w:fill="4bacc6" w:themeFill="accent5" w:val="clear"/>
      </w:tcPr>
    </w:tblStylePr>
    <w:tblStylePr w:type="lastRow">
      <w:pPr>
        <w:spacing w:after="0" w:before="0" w:line="240" w:lineRule="auto"/>
      </w:pPr>
      <w:rPr>
        <w:b w:val="1"/>
        <w:bCs w:val="1"/>
      </w:rPr>
      <w:tblPr/>
      <w:tcPr>
        <w:tcBorders>
          <w:top w:color="78c0d4" w:space="0" w:sz="6" w:themeColor="accent5" w:themeTint="0000BF" w:val="double"/>
          <w:left w:color="78c0d4" w:space="0" w:sz="8" w:themeColor="accent5" w:themeTint="0000BF" w:val="single"/>
          <w:bottom w:color="78c0d4" w:space="0" w:sz="8" w:themeColor="accent5" w:themeTint="0000BF" w:val="single"/>
          <w:right w:color="78c0d4" w:space="0" w:sz="8" w:themeColor="accent5" w:themeTint="0000BF" w:val="single"/>
          <w:insideH w:space="0" w:sz="0" w:val="nil"/>
          <w:insideV w:space="0" w:sz="0" w:val="nil"/>
        </w:tcBorders>
      </w:tcPr>
    </w:tblStylePr>
    <w:tblStylePr w:type="firstCol">
      <w:rPr>
        <w:b w:val="1"/>
        <w:bCs w:val="1"/>
      </w:rPr>
    </w:tblStylePr>
    <w:tblStylePr w:type="lastCol">
      <w:rPr>
        <w:b w:val="1"/>
        <w:bCs w:val="1"/>
      </w:rPr>
    </w:tblStylePr>
    <w:tblStylePr w:type="band1Vert">
      <w:tblPr/>
      <w:tcPr>
        <w:shd w:color="auto" w:fill="d2eaf1" w:themeFill="accent5" w:themeFillTint="00003F" w:val="clear"/>
      </w:tcPr>
    </w:tblStylePr>
    <w:tblStylePr w:type="band1Horz">
      <w:tblPr/>
      <w:tcPr>
        <w:tcBorders>
          <w:insideH w:space="0" w:sz="0" w:val="nil"/>
          <w:insideV w:space="0" w:sz="0" w:val="nil"/>
        </w:tcBorders>
        <w:shd w:color="auto" w:fill="d2eaf1" w:themeFill="accent5" w:themeFillTint="00003F" w:val="clear"/>
      </w:tcPr>
    </w:tblStylePr>
    <w:tblStylePr w:type="band2Horz">
      <w:tblPr/>
      <w:tcPr>
        <w:tcBorders>
          <w:insideH w:space="0" w:sz="0" w:val="nil"/>
          <w:insideV w:space="0" w:sz="0" w:val="nil"/>
        </w:tcBorders>
      </w:tcPr>
    </w:tblStylePr>
  </w:style>
  <w:style w:type="table" w:styleId="MediumShading1-Accent51" w:customStyle="1">
    <w:name w:val="Medium Shading 1 - Accent 51"/>
    <w:basedOn w:val="TableNormal"/>
    <w:next w:val="MediumShading1-Accent5"/>
    <w:uiPriority w:val="63"/>
    <w:rsid w:val="006537FD"/>
    <w:pPr>
      <w:spacing w:after="0" w:line="240" w:lineRule="auto"/>
    </w:pPr>
    <w:rPr>
      <w:rFonts w:eastAsiaTheme="minorEastAsia"/>
    </w:rPr>
    <w:tblPr>
      <w:tblStyleRowBandSize w:val="1"/>
      <w:tblStyleColBandSize w:val="1"/>
      <w:tblBorders>
        <w:top w:color="78c0d4" w:space="0" w:sz="8" w:themeColor="accent5" w:themeTint="0000BF" w:val="single"/>
        <w:left w:color="78c0d4" w:space="0" w:sz="8" w:themeColor="accent5" w:themeTint="0000BF" w:val="single"/>
        <w:bottom w:color="78c0d4" w:space="0" w:sz="8" w:themeColor="accent5" w:themeTint="0000BF" w:val="single"/>
        <w:right w:color="78c0d4" w:space="0" w:sz="8" w:themeColor="accent5" w:themeTint="0000BF" w:val="single"/>
        <w:insideH w:color="78c0d4" w:space="0" w:sz="8" w:themeColor="accent5" w:themeTint="0000BF" w:val="single"/>
      </w:tblBorders>
    </w:tblPr>
    <w:tblStylePr w:type="firstRow">
      <w:pPr>
        <w:spacing w:after="0" w:before="0" w:line="240" w:lineRule="auto"/>
      </w:pPr>
      <w:rPr>
        <w:b w:val="1"/>
        <w:bCs w:val="1"/>
        <w:color w:val="ffffff" w:themeColor="background1"/>
      </w:rPr>
      <w:tblPr/>
      <w:tcPr>
        <w:tcBorders>
          <w:top w:color="78c0d4" w:space="0" w:sz="8" w:themeColor="accent5" w:themeTint="0000BF" w:val="single"/>
          <w:left w:color="78c0d4" w:space="0" w:sz="8" w:themeColor="accent5" w:themeTint="0000BF" w:val="single"/>
          <w:bottom w:color="78c0d4" w:space="0" w:sz="8" w:themeColor="accent5" w:themeTint="0000BF" w:val="single"/>
          <w:right w:color="78c0d4" w:space="0" w:sz="8" w:themeColor="accent5" w:themeTint="0000BF" w:val="single"/>
          <w:insideH w:space="0" w:sz="0" w:val="nil"/>
          <w:insideV w:space="0" w:sz="0" w:val="nil"/>
        </w:tcBorders>
        <w:shd w:color="auto" w:fill="4bacc6" w:themeFill="accent5" w:val="clear"/>
      </w:tcPr>
    </w:tblStylePr>
    <w:tblStylePr w:type="lastRow">
      <w:pPr>
        <w:spacing w:after="0" w:before="0" w:line="240" w:lineRule="auto"/>
      </w:pPr>
      <w:rPr>
        <w:b w:val="1"/>
        <w:bCs w:val="1"/>
      </w:rPr>
      <w:tblPr/>
      <w:tcPr>
        <w:tcBorders>
          <w:top w:color="78c0d4" w:space="0" w:sz="6" w:themeColor="accent5" w:themeTint="0000BF" w:val="double"/>
          <w:left w:color="78c0d4" w:space="0" w:sz="8" w:themeColor="accent5" w:themeTint="0000BF" w:val="single"/>
          <w:bottom w:color="78c0d4" w:space="0" w:sz="8" w:themeColor="accent5" w:themeTint="0000BF" w:val="single"/>
          <w:right w:color="78c0d4" w:space="0" w:sz="8" w:themeColor="accent5" w:themeTint="0000BF" w:val="single"/>
          <w:insideH w:space="0" w:sz="0" w:val="nil"/>
          <w:insideV w:space="0" w:sz="0" w:val="nil"/>
        </w:tcBorders>
      </w:tcPr>
    </w:tblStylePr>
    <w:tblStylePr w:type="firstCol">
      <w:rPr>
        <w:b w:val="1"/>
        <w:bCs w:val="1"/>
      </w:rPr>
    </w:tblStylePr>
    <w:tblStylePr w:type="lastCol">
      <w:rPr>
        <w:b w:val="1"/>
        <w:bCs w:val="1"/>
      </w:rPr>
    </w:tblStylePr>
    <w:tblStylePr w:type="band1Vert">
      <w:tblPr/>
      <w:tcPr>
        <w:shd w:color="auto" w:fill="d2eaf1" w:themeFill="accent5" w:themeFillTint="00003F" w:val="clear"/>
      </w:tcPr>
    </w:tblStylePr>
    <w:tblStylePr w:type="band1Horz">
      <w:tblPr/>
      <w:tcPr>
        <w:tcBorders>
          <w:insideH w:space="0" w:sz="0" w:val="nil"/>
          <w:insideV w:space="0" w:sz="0" w:val="nil"/>
        </w:tcBorders>
        <w:shd w:color="auto" w:fill="d2eaf1" w:themeFill="accent5" w:themeFillTint="00003F" w:val="clear"/>
      </w:tcPr>
    </w:tblStylePr>
    <w:tblStylePr w:type="band2Horz">
      <w:tblPr/>
      <w:tcPr>
        <w:tcBorders>
          <w:insideH w:space="0" w:sz="0" w:val="nil"/>
          <w:insideV w:space="0" w:sz="0" w:val="nil"/>
        </w:tcBorders>
      </w:tcPr>
    </w:tblStylePr>
  </w:style>
  <w:style w:type="paragraph" w:styleId="FootnoteText">
    <w:name w:val="footnote text"/>
    <w:basedOn w:val="Normal"/>
    <w:link w:val="FootnoteTextChar"/>
    <w:uiPriority w:val="99"/>
    <w:semiHidden w:val="1"/>
    <w:unhideWhenUsed w:val="1"/>
    <w:rsid w:val="007059B2"/>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7059B2"/>
    <w:rPr>
      <w:sz w:val="20"/>
      <w:szCs w:val="20"/>
    </w:rPr>
  </w:style>
  <w:style w:type="character" w:styleId="FootnoteReference">
    <w:name w:val="footnote reference"/>
    <w:basedOn w:val="DefaultParagraphFont"/>
    <w:uiPriority w:val="99"/>
    <w:semiHidden w:val="1"/>
    <w:unhideWhenUsed w:val="1"/>
    <w:rsid w:val="007059B2"/>
    <w:rPr>
      <w:vertAlign w:val="superscript"/>
    </w:rPr>
  </w:style>
  <w:style w:type="paragraph" w:styleId="Revision">
    <w:name w:val="Revision"/>
    <w:hidden w:val="1"/>
    <w:uiPriority w:val="99"/>
    <w:semiHidden w:val="1"/>
    <w:rsid w:val="00F21037"/>
    <w:pPr>
      <w:spacing w:after="0" w:line="240" w:lineRule="auto"/>
    </w:pPr>
  </w:style>
  <w:style w:type="paragraph" w:styleId="EndnoteText">
    <w:name w:val="endnote text"/>
    <w:basedOn w:val="Normal"/>
    <w:link w:val="EndnoteTextChar"/>
    <w:uiPriority w:val="99"/>
    <w:semiHidden w:val="1"/>
    <w:unhideWhenUsed w:val="1"/>
    <w:rsid w:val="00C955ED"/>
    <w:pPr>
      <w:spacing w:after="0" w:line="240" w:lineRule="auto"/>
    </w:pPr>
    <w:rPr>
      <w:sz w:val="20"/>
      <w:szCs w:val="20"/>
    </w:rPr>
  </w:style>
  <w:style w:type="character" w:styleId="EndnoteTextChar" w:customStyle="1">
    <w:name w:val="Endnote Text Char"/>
    <w:basedOn w:val="DefaultParagraphFont"/>
    <w:link w:val="EndnoteText"/>
    <w:uiPriority w:val="99"/>
    <w:semiHidden w:val="1"/>
    <w:rsid w:val="00C955ED"/>
    <w:rPr>
      <w:sz w:val="20"/>
      <w:szCs w:val="20"/>
    </w:rPr>
  </w:style>
  <w:style w:type="character" w:styleId="EndnoteReference">
    <w:name w:val="endnote reference"/>
    <w:basedOn w:val="DefaultParagraphFont"/>
    <w:uiPriority w:val="99"/>
    <w:semiHidden w:val="1"/>
    <w:unhideWhenUsed w:val="1"/>
    <w:rsid w:val="00C955ED"/>
    <w:rPr>
      <w:vertAlign w:val="superscript"/>
    </w:rPr>
  </w:style>
  <w:style w:type="character" w:styleId="FollowedHyperlink">
    <w:name w:val="FollowedHyperlink"/>
    <w:basedOn w:val="DefaultParagraphFont"/>
    <w:uiPriority w:val="99"/>
    <w:semiHidden w:val="1"/>
    <w:unhideWhenUsed w:val="1"/>
    <w:rsid w:val="00AA356F"/>
    <w:rPr>
      <w:color w:val="800080" w:themeColor="followedHyperlink"/>
      <w:u w:val="single"/>
    </w:rPr>
  </w:style>
  <w:style w:type="paragraph" w:styleId="TableHeader" w:customStyle="1">
    <w:name w:val="Table Header"/>
    <w:basedOn w:val="Normal"/>
    <w:rsid w:val="00E0602B"/>
    <w:pPr>
      <w:spacing w:after="120" w:before="120" w:line="240" w:lineRule="auto"/>
    </w:pPr>
    <w:rPr>
      <w:rFonts w:ascii="Arial" w:cs="Arial" w:eastAsia="Times New Roman" w:hAnsi="Arial"/>
      <w:b w:val="1"/>
      <w:bCs w:val="1"/>
      <w:sz w:val="18"/>
      <w:szCs w:val="18"/>
      <w:lang w:eastAsia="fr-FR"/>
    </w:rPr>
  </w:style>
  <w:style w:type="paragraph" w:styleId="TableText" w:customStyle="1">
    <w:name w:val="Table Text"/>
    <w:basedOn w:val="Normal"/>
    <w:rsid w:val="00E0602B"/>
    <w:pPr>
      <w:spacing w:after="60" w:before="60" w:line="240" w:lineRule="auto"/>
    </w:pPr>
    <w:rPr>
      <w:rFonts w:ascii="Arial" w:cs="Arial" w:eastAsia="Times New Roman" w:hAnsi="Arial"/>
      <w:sz w:val="18"/>
      <w:szCs w:val="18"/>
      <w:lang w:eastAsia="fr-FR"/>
    </w:rPr>
  </w:style>
  <w:style w:type="table" w:styleId="a" w:customStyle="1">
    <w:basedOn w:val="TableNormal"/>
    <w:pPr>
      <w:spacing w:after="0" w:line="240" w:lineRule="auto"/>
    </w:pPr>
    <w:tblPr>
      <w:tblStyleRowBandSize w:val="1"/>
      <w:tblStyleColBandSize w:val="1"/>
    </w:tblPr>
  </w:style>
  <w:style w:type="table" w:styleId="a0" w:customStyle="1">
    <w:basedOn w:val="TableNormal"/>
    <w:pPr>
      <w:spacing w:after="0" w:line="240" w:lineRule="auto"/>
    </w:pPr>
    <w:tblPr>
      <w:tblStyleRowBandSize w:val="1"/>
      <w:tblStyleColBandSize w:val="1"/>
    </w:tblPr>
  </w:style>
  <w:style w:type="table" w:styleId="a1" w:customStyle="1">
    <w:basedOn w:val="TableNormal"/>
    <w:tblPr>
      <w:tblStyleRowBandSize w:val="1"/>
      <w:tblStyleColBandSize w:val="1"/>
      <w:tblCellMar>
        <w:left w:w="0.0" w:type="dxa"/>
        <w:right w:w="0.0" w:type="dxa"/>
      </w:tblCellMar>
    </w:tblPr>
  </w:style>
  <w:style w:type="table" w:styleId="a2" w:customStyle="1">
    <w:basedOn w:val="TableNormal"/>
    <w:pPr>
      <w:spacing w:after="0" w:line="240" w:lineRule="auto"/>
    </w:pPr>
    <w:tblPr>
      <w:tblStyleRowBandSize w:val="1"/>
      <w:tblStyleColBandSize w:val="1"/>
    </w:tblPr>
  </w:style>
  <w:style w:type="table" w:styleId="a3" w:customStyle="1">
    <w:basedOn w:val="TableNormal"/>
    <w:pPr>
      <w:spacing w:after="0" w:line="240" w:lineRule="auto"/>
    </w:pPr>
    <w:tblPr>
      <w:tblStyleRowBandSize w:val="1"/>
      <w:tblStyleColBandSize w:val="1"/>
    </w:tblPr>
  </w:style>
  <w:style w:type="table" w:styleId="a4" w:customStyle="1">
    <w:basedOn w:val="TableNormal"/>
    <w:pPr>
      <w:spacing w:after="0" w:line="240" w:lineRule="auto"/>
    </w:pPr>
    <w:tblPr>
      <w:tblStyleRowBandSize w:val="1"/>
      <w:tblStyleColBandSize w:val="1"/>
    </w:tblPr>
  </w:style>
  <w:style w:type="table" w:styleId="a5" w:customStyle="1">
    <w:basedOn w:val="TableNormal"/>
    <w:pPr>
      <w:spacing w:after="0" w:line="240" w:lineRule="auto"/>
    </w:pPr>
    <w:tblPr>
      <w:tblStyleRowBandSize w:val="1"/>
      <w:tblStyleColBandSize w:val="1"/>
    </w:tblPr>
  </w:style>
  <w:style w:type="table" w:styleId="a6" w:customStyle="1">
    <w:basedOn w:val="TableNormal"/>
    <w:pPr>
      <w:spacing w:after="0" w:line="240" w:lineRule="auto"/>
    </w:pPr>
    <w:tblPr>
      <w:tblStyleRowBandSize w:val="1"/>
      <w:tblStyleColBandSize w:val="1"/>
    </w:tblPr>
  </w:style>
  <w:style w:type="table" w:styleId="a7" w:customStyle="1">
    <w:basedOn w:val="TableNormal"/>
    <w:pPr>
      <w:spacing w:after="0" w:line="240" w:lineRule="auto"/>
    </w:pPr>
    <w:tblPr>
      <w:tblStyleRowBandSize w:val="1"/>
      <w:tblStyleColBandSize w:val="1"/>
    </w:tblPr>
  </w:style>
  <w:style w:type="table" w:styleId="a8" w:customStyle="1">
    <w:basedOn w:val="TableNormal"/>
    <w:pPr>
      <w:spacing w:after="0" w:line="240" w:lineRule="auto"/>
    </w:pPr>
    <w:tblPr>
      <w:tblStyleRowBandSize w:val="1"/>
      <w:tblStyleColBandSize w:val="1"/>
    </w:tblPr>
  </w:style>
  <w:style w:type="table" w:styleId="a9" w:customStyle="1">
    <w:basedOn w:val="TableNormal"/>
    <w:pPr>
      <w:spacing w:after="0" w:line="240" w:lineRule="auto"/>
    </w:pPr>
    <w:tblPr>
      <w:tblStyleRowBandSize w:val="1"/>
      <w:tblStyleColBandSize w:val="1"/>
    </w:tblPr>
  </w:style>
  <w:style w:type="table" w:styleId="aa" w:customStyle="1">
    <w:basedOn w:val="TableNormal"/>
    <w:pPr>
      <w:spacing w:after="0" w:line="240" w:lineRule="auto"/>
    </w:pPr>
    <w:tblPr>
      <w:tblStyleRowBandSize w:val="1"/>
      <w:tblStyleColBandSize w:val="1"/>
    </w:tblPr>
  </w:style>
  <w:style w:type="table" w:styleId="ab" w:customStyle="1">
    <w:basedOn w:val="TableNormal"/>
    <w:pPr>
      <w:spacing w:after="0" w:line="240" w:lineRule="auto"/>
    </w:pPr>
    <w:tblPr>
      <w:tblStyleRowBandSize w:val="1"/>
      <w:tblStyleColBandSize w:val="1"/>
    </w:tblPr>
  </w:style>
  <w:style w:type="table" w:styleId="ac" w:customStyle="1">
    <w:basedOn w:val="TableNormal"/>
    <w:pPr>
      <w:spacing w:after="0" w:line="240" w:lineRule="auto"/>
    </w:pPr>
    <w:tblPr>
      <w:tblStyleRowBandSize w:val="1"/>
      <w:tblStyleColBandSize w:val="1"/>
    </w:tblPr>
  </w:style>
  <w:style w:type="table" w:styleId="ad" w:customStyle="1">
    <w:basedOn w:val="TableNormal"/>
    <w:pPr>
      <w:spacing w:after="0" w:line="240" w:lineRule="auto"/>
    </w:pPr>
    <w:tblPr>
      <w:tblStyleRowBandSize w:val="1"/>
      <w:tblStyleColBandSize w:val="1"/>
    </w:tblPr>
  </w:style>
  <w:style w:type="table" w:styleId="ae" w:customStyle="1">
    <w:basedOn w:val="TableNormal"/>
    <w:pPr>
      <w:spacing w:after="0" w:line="240" w:lineRule="auto"/>
    </w:pPr>
    <w:tblPr>
      <w:tblStyleRowBandSize w:val="1"/>
      <w:tblStyleColBandSize w:val="1"/>
    </w:tblPr>
  </w:style>
  <w:style w:type="table" w:styleId="af" w:customStyle="1">
    <w:basedOn w:val="TableNormal"/>
    <w:pPr>
      <w:spacing w:after="0" w:line="240" w:lineRule="auto"/>
    </w:pPr>
    <w:tblPr>
      <w:tblStyleRowBandSize w:val="1"/>
      <w:tblStyleColBandSize w:val="1"/>
    </w:tblPr>
  </w:style>
  <w:style w:type="table" w:styleId="af0" w:customStyle="1">
    <w:basedOn w:val="TableNormal"/>
    <w:pPr>
      <w:spacing w:after="0" w:line="240" w:lineRule="auto"/>
    </w:pPr>
    <w:tblPr>
      <w:tblStyleRowBandSize w:val="1"/>
      <w:tblStyleColBandSize w:val="1"/>
    </w:tblPr>
    <w:tblStylePr w:type="firstRow">
      <w:pPr>
        <w:spacing w:after="0" w:before="0" w:line="240" w:lineRule="auto"/>
      </w:pPr>
      <w:rPr>
        <w:b w:val="1"/>
        <w:color w:val="ffffff"/>
      </w:rPr>
      <w:tblPr/>
      <w:tcPr>
        <w:tcBorders>
          <w:top w:color="78c0d4" w:space="0" w:sz="8" w:val="single"/>
          <w:left w:color="78c0d4" w:space="0" w:sz="8" w:val="single"/>
          <w:bottom w:color="78c0d4" w:space="0" w:sz="8" w:val="single"/>
          <w:right w:color="78c0d4" w:space="0" w:sz="8" w:val="single"/>
          <w:insideH w:space="0" w:sz="0" w:val="nil"/>
          <w:insideV w:space="0" w:sz="0" w:val="nil"/>
        </w:tcBorders>
        <w:shd w:color="auto" w:fill="4bacc6" w:val="clear"/>
      </w:tcPr>
    </w:tblStylePr>
    <w:tblStylePr w:type="lastRow">
      <w:pPr>
        <w:spacing w:after="0" w:before="0" w:line="240" w:lineRule="auto"/>
      </w:pPr>
      <w:rPr>
        <w:b w:val="1"/>
      </w:rPr>
      <w:tblPr/>
      <w:tcPr>
        <w:tcBorders>
          <w:top w:color="78c0d4" w:space="0" w:sz="6" w:val="single"/>
          <w:left w:color="78c0d4" w:space="0" w:sz="8" w:val="single"/>
          <w:bottom w:color="78c0d4" w:space="0" w:sz="8" w:val="single"/>
          <w:right w:color="78c0d4" w:space="0" w:sz="8" w:val="single"/>
          <w:insideH w:space="0" w:sz="0" w:val="nil"/>
          <w:insideV w:space="0" w:sz="0" w:val="nil"/>
        </w:tcBorders>
      </w:tcPr>
    </w:tblStylePr>
    <w:tblStylePr w:type="firstCol">
      <w:rPr>
        <w:b w:val="1"/>
      </w:rPr>
    </w:tblStylePr>
    <w:tblStylePr w:type="lastCol">
      <w:rPr>
        <w:b w:val="1"/>
      </w:rPr>
    </w:tblStylePr>
    <w:tblStylePr w:type="band1Vert">
      <w:tblPr/>
      <w:tcPr>
        <w:shd w:color="auto" w:fill="d2eaf0" w:val="clear"/>
      </w:tcPr>
    </w:tblStylePr>
    <w:tblStylePr w:type="band1Horz">
      <w:tblPr/>
      <w:tcPr>
        <w:tcBorders>
          <w:insideH w:space="0" w:sz="0" w:val="nil"/>
          <w:insideV w:space="0" w:sz="0" w:val="nil"/>
        </w:tcBorders>
        <w:shd w:color="auto" w:fill="d2eaf0" w:val="clear"/>
      </w:tcPr>
    </w:tblStylePr>
    <w:tblStylePr w:type="band2Horz">
      <w:tblPr/>
      <w:tcPr>
        <w:tcBorders>
          <w:insideH w:space="0" w:sz="0" w:val="nil"/>
          <w:insideV w:space="0" w:sz="0" w:val="nil"/>
        </w:tcBorders>
      </w:tcPr>
    </w:tblStylePr>
  </w:style>
  <w:style w:type="table" w:styleId="af1" w:customStyle="1">
    <w:basedOn w:val="TableNormal"/>
    <w:pPr>
      <w:spacing w:after="0" w:line="240" w:lineRule="auto"/>
    </w:pPr>
    <w:tblPr>
      <w:tblStyleRowBandSize w:val="1"/>
      <w:tblStyleColBandSize w:val="1"/>
    </w:tblPr>
    <w:tblStylePr w:type="firstRow">
      <w:pPr>
        <w:spacing w:after="0" w:before="0" w:line="240" w:lineRule="auto"/>
      </w:pPr>
      <w:rPr>
        <w:b w:val="1"/>
        <w:color w:val="ffffff"/>
      </w:rPr>
      <w:tblPr/>
      <w:tcPr>
        <w:shd w:color="auto" w:fill="4bacc6" w:val="clear"/>
      </w:tcPr>
    </w:tblStylePr>
    <w:tblStylePr w:type="lastRow">
      <w:pPr>
        <w:spacing w:after="0" w:before="0" w:line="240" w:lineRule="auto"/>
      </w:pPr>
      <w:rPr>
        <w:b w:val="1"/>
      </w:rPr>
      <w:tblPr/>
      <w:tcPr>
        <w:tcBorders>
          <w:top w:color="4bacc6" w:space="0" w:sz="6" w:val="single"/>
          <w:left w:color="4bacc6" w:space="0" w:sz="8" w:val="single"/>
          <w:bottom w:color="4bacc6" w:space="0" w:sz="8" w:val="single"/>
          <w:right w:color="4bacc6" w:space="0" w:sz="8" w:val="single"/>
        </w:tcBorders>
      </w:tcPr>
    </w:tblStylePr>
    <w:tblStylePr w:type="firstCol">
      <w:rPr>
        <w:b w:val="1"/>
      </w:rPr>
    </w:tblStylePr>
    <w:tblStylePr w:type="lastCol">
      <w:rPr>
        <w:b w:val="1"/>
      </w:rPr>
    </w:tblStylePr>
    <w:tblStylePr w:type="band1Vert">
      <w:tblPr/>
      <w:tcPr>
        <w:tcBorders>
          <w:top w:color="4bacc6" w:space="0" w:sz="8" w:val="single"/>
          <w:left w:color="4bacc6" w:space="0" w:sz="8" w:val="single"/>
          <w:bottom w:color="4bacc6" w:space="0" w:sz="8" w:val="single"/>
          <w:right w:color="4bacc6" w:space="0" w:sz="8" w:val="single"/>
        </w:tcBorders>
      </w:tcPr>
    </w:tblStylePr>
    <w:tblStylePr w:type="band1Horz">
      <w:tblPr/>
      <w:tcPr>
        <w:tcBorders>
          <w:top w:color="4bacc6" w:space="0" w:sz="8" w:val="single"/>
          <w:left w:color="4bacc6" w:space="0" w:sz="8" w:val="single"/>
          <w:bottom w:color="4bacc6" w:space="0" w:sz="8" w:val="single"/>
          <w:right w:color="4bacc6" w:space="0" w:sz="8" w:val="single"/>
        </w:tcBorders>
      </w:tcPr>
    </w:tblStylePr>
  </w:style>
  <w:style w:type="table" w:styleId="af2" w:customStyle="1">
    <w:basedOn w:val="TableNormal"/>
    <w:pPr>
      <w:spacing w:after="0" w:line="240" w:lineRule="auto"/>
    </w:pPr>
    <w:tblPr>
      <w:tblStyleRowBandSize w:val="1"/>
      <w:tblStyleColBandSize w:val="1"/>
    </w:tblPr>
    <w:tblStylePr w:type="firstRow">
      <w:pPr>
        <w:spacing w:after="0" w:before="0" w:line="240" w:lineRule="auto"/>
      </w:pPr>
      <w:rPr>
        <w:b w:val="1"/>
        <w:color w:val="ffffff"/>
      </w:rPr>
      <w:tblPr/>
      <w:tcPr>
        <w:tcBorders>
          <w:top w:color="78c0d4" w:space="0" w:sz="8" w:val="single"/>
          <w:left w:color="78c0d4" w:space="0" w:sz="8" w:val="single"/>
          <w:bottom w:color="78c0d4" w:space="0" w:sz="8" w:val="single"/>
          <w:right w:color="78c0d4" w:space="0" w:sz="8" w:val="single"/>
          <w:insideH w:space="0" w:sz="0" w:val="nil"/>
          <w:insideV w:space="0" w:sz="0" w:val="nil"/>
        </w:tcBorders>
        <w:shd w:color="auto" w:fill="4bacc6" w:val="clear"/>
      </w:tcPr>
    </w:tblStylePr>
    <w:tblStylePr w:type="lastRow">
      <w:pPr>
        <w:spacing w:after="0" w:before="0" w:line="240" w:lineRule="auto"/>
      </w:pPr>
      <w:rPr>
        <w:b w:val="1"/>
      </w:rPr>
      <w:tblPr/>
      <w:tcPr>
        <w:tcBorders>
          <w:top w:color="78c0d4" w:space="0" w:sz="6" w:val="single"/>
          <w:left w:color="78c0d4" w:space="0" w:sz="8" w:val="single"/>
          <w:bottom w:color="78c0d4" w:space="0" w:sz="8" w:val="single"/>
          <w:right w:color="78c0d4" w:space="0" w:sz="8" w:val="single"/>
          <w:insideH w:space="0" w:sz="0" w:val="nil"/>
          <w:insideV w:space="0" w:sz="0" w:val="nil"/>
        </w:tcBorders>
      </w:tcPr>
    </w:tblStylePr>
    <w:tblStylePr w:type="firstCol">
      <w:rPr>
        <w:b w:val="1"/>
      </w:rPr>
    </w:tblStylePr>
    <w:tblStylePr w:type="lastCol">
      <w:rPr>
        <w:b w:val="1"/>
      </w:rPr>
    </w:tblStylePr>
    <w:tblStylePr w:type="band1Vert">
      <w:tblPr/>
      <w:tcPr>
        <w:shd w:color="auto" w:fill="d2eaf0" w:val="clear"/>
      </w:tcPr>
    </w:tblStylePr>
    <w:tblStylePr w:type="band1Horz">
      <w:tblPr/>
      <w:tcPr>
        <w:tcBorders>
          <w:insideH w:space="0" w:sz="0" w:val="nil"/>
          <w:insideV w:space="0" w:sz="0" w:val="nil"/>
        </w:tcBorders>
        <w:shd w:color="auto" w:fill="d2eaf0" w:val="clear"/>
      </w:tcPr>
    </w:tblStylePr>
    <w:tblStylePr w:type="band2Horz">
      <w:tblPr/>
      <w:tcPr>
        <w:tcBorders>
          <w:insideH w:space="0" w:sz="0" w:val="nil"/>
          <w:insideV w:space="0" w:sz="0" w:val="nil"/>
        </w:tcBorders>
      </w:tcPr>
    </w:tblStylePr>
  </w:style>
  <w:style w:type="table" w:styleId="af3" w:customStyle="1">
    <w:basedOn w:val="TableNormal"/>
    <w:tblPr>
      <w:tblStyleRowBandSize w:val="1"/>
      <w:tblStyleColBandSize w:val="1"/>
      <w:tblCellMar>
        <w:left w:w="115.0" w:type="dxa"/>
        <w:right w:w="115.0" w:type="dxa"/>
      </w:tblCellMar>
    </w:tblPr>
  </w:style>
  <w:style w:type="table" w:styleId="af4" w:customStyle="1">
    <w:basedOn w:val="TableNormal"/>
    <w:tblPr>
      <w:tblStyleRowBandSize w:val="1"/>
      <w:tblStyleColBandSize w:val="1"/>
      <w:tblCellMar>
        <w:top w:w="72.0" w:type="dxa"/>
        <w:left w:w="115.0" w:type="dxa"/>
        <w:bottom w:w="72.0" w:type="dxa"/>
        <w:right w:w="115.0" w:type="dxa"/>
      </w:tblCellMar>
    </w:tblPr>
  </w:style>
  <w:style w:type="table" w:styleId="af5" w:customStyle="1">
    <w:basedOn w:val="TableNormal"/>
    <w:tblPr>
      <w:tblStyleRowBandSize w:val="1"/>
      <w:tblStyleColBandSize w:val="1"/>
      <w:tblCellMar>
        <w:left w:w="115.0" w:type="dxa"/>
        <w:right w:w="115.0" w:type="dxa"/>
      </w:tblCellMar>
    </w:tblPr>
  </w:style>
  <w:style w:type="paragraph" w:styleId="Subtitle">
    <w:name w:val="Subtitle"/>
    <w:basedOn w:val="Normal"/>
    <w:next w:val="Normal"/>
    <w:pPr/>
    <w:rPr>
      <w:rFonts w:ascii="Cambria" w:cs="Cambria" w:eastAsia="Cambria" w:hAnsi="Cambria"/>
      <w:i w:val="1"/>
      <w:iCs w:val="1"/>
      <w:color w:val="ff6540"/>
      <w:sz w:val="24"/>
      <w:szCs w:val="24"/>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8">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insideH w:color="000000" w:space="0" w:sz="0" w:val="nil"/>
          <w:insideV w:color="000000" w:space="0" w:sz="0" w:val="nil"/>
        </w:tcBorders>
        <w:shd w:fill="d2eaf0" w:val="clear"/>
      </w:tcPr>
    </w:tblStylePr>
    <w:tblStylePr w:type="band1Vert">
      <w:tcPr>
        <w:shd w:fill="d2eaf0" w:val="clear"/>
      </w:tcPr>
    </w:tblStylePr>
    <w:tblStylePr w:type="band2Horz">
      <w:tcPr>
        <w:tcBorders>
          <w:insideH w:color="000000" w:space="0" w:sz="0" w:val="nil"/>
          <w:insideV w:color="000000" w:space="0" w:sz="0" w:val="nil"/>
        </w:tcBorders>
      </w:tcPr>
    </w:tblStylePr>
    <w:tblStylePr w:type="firstCol">
      <w:rPr>
        <w:b w:val="1"/>
        <w:bCs w:val="1"/>
      </w:rPr>
    </w:tblStylePr>
    <w:tblStylePr w:type="firstRow">
      <w:pPr>
        <w:spacing w:after="0" w:before="0" w:line="240" w:lineRule="auto"/>
      </w:pPr>
      <w:rPr>
        <w:b w:val="1"/>
        <w:bCs w:val="1"/>
        <w:color w:val="ffffff"/>
      </w:rPr>
      <w:tcPr>
        <w:tcBorders>
          <w:top w:color="78c0d4" w:space="0" w:sz="8" w:val="single"/>
          <w:left w:color="78c0d4" w:space="0" w:sz="8" w:val="single"/>
          <w:bottom w:color="78c0d4" w:space="0" w:sz="8" w:val="single"/>
          <w:right w:color="78c0d4" w:space="0" w:sz="8" w:val="single"/>
          <w:insideH w:color="000000" w:space="0" w:sz="0" w:val="nil"/>
          <w:insideV w:color="000000" w:space="0" w:sz="0" w:val="nil"/>
        </w:tcBorders>
        <w:shd w:fill="4bacc6" w:val="clear"/>
      </w:tcPr>
    </w:tblStylePr>
    <w:tblStylePr w:type="lastCol">
      <w:rPr>
        <w:b w:val="1"/>
        <w:bCs w:val="1"/>
      </w:rPr>
    </w:tblStylePr>
    <w:tblStylePr w:type="lastRow">
      <w:pPr>
        <w:spacing w:after="0" w:before="0" w:line="240" w:lineRule="auto"/>
      </w:pPr>
      <w:rPr>
        <w:b w:val="1"/>
        <w:bCs w:val="1"/>
      </w:rPr>
      <w:tcPr>
        <w:tcBorders>
          <w:top w:color="78c0d4" w:space="0" w:sz="6" w:val="single"/>
          <w:left w:color="78c0d4" w:space="0" w:sz="8" w:val="single"/>
          <w:bottom w:color="78c0d4" w:space="0" w:sz="8" w:val="single"/>
          <w:right w:color="78c0d4" w:space="0" w:sz="8" w:val="single"/>
          <w:insideH w:color="000000" w:space="0" w:sz="0" w:val="nil"/>
          <w:insideV w:color="000000" w:space="0" w:sz="0" w:val="nil"/>
        </w:tcBorders>
      </w:tcPr>
    </w:tblStylePr>
  </w:style>
  <w:style w:type="table" w:styleId="Table19">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top w:color="4bacc6" w:space="0" w:sz="8" w:val="single"/>
          <w:left w:color="4bacc6" w:space="0" w:sz="8" w:val="single"/>
          <w:bottom w:color="4bacc6" w:space="0" w:sz="8" w:val="single"/>
          <w:right w:color="4bacc6" w:space="0" w:sz="8" w:val="single"/>
        </w:tcBorders>
      </w:tcPr>
    </w:tblStylePr>
    <w:tblStylePr w:type="band1Vert">
      <w:tcPr>
        <w:tcBorders>
          <w:top w:color="4bacc6" w:space="0" w:sz="8" w:val="single"/>
          <w:left w:color="4bacc6" w:space="0" w:sz="8" w:val="single"/>
          <w:bottom w:color="4bacc6" w:space="0" w:sz="8" w:val="single"/>
          <w:right w:color="4bacc6" w:space="0" w:sz="8" w:val="single"/>
        </w:tcBorders>
      </w:tcPr>
    </w:tblStylePr>
    <w:tblStylePr w:type="firstCol">
      <w:rPr>
        <w:b w:val="1"/>
        <w:bCs w:val="1"/>
      </w:rPr>
    </w:tblStylePr>
    <w:tblStylePr w:type="firstRow">
      <w:pPr>
        <w:spacing w:after="0" w:before="0" w:line="240" w:lineRule="auto"/>
      </w:pPr>
      <w:rPr>
        <w:b w:val="1"/>
        <w:bCs w:val="1"/>
        <w:color w:val="ffffff"/>
      </w:rPr>
      <w:tcPr>
        <w:shd w:fill="4bacc6" w:val="clear"/>
      </w:tcPr>
    </w:tblStylePr>
    <w:tblStylePr w:type="lastCol">
      <w:rPr>
        <w:b w:val="1"/>
        <w:bCs w:val="1"/>
      </w:rPr>
    </w:tblStylePr>
    <w:tblStylePr w:type="lastRow">
      <w:pPr>
        <w:spacing w:after="0" w:before="0" w:line="240" w:lineRule="auto"/>
      </w:pPr>
      <w:rPr>
        <w:b w:val="1"/>
        <w:bCs w:val="1"/>
      </w:rPr>
      <w:tcPr>
        <w:tcBorders>
          <w:top w:color="4bacc6" w:space="0" w:sz="6" w:val="single"/>
          <w:left w:color="4bacc6" w:space="0" w:sz="8" w:val="single"/>
          <w:bottom w:color="4bacc6" w:space="0" w:sz="8" w:val="single"/>
          <w:right w:color="4bacc6" w:space="0" w:sz="8" w:val="single"/>
        </w:tcBorders>
      </w:tcPr>
    </w:tblStylePr>
  </w:style>
  <w:style w:type="table" w:styleId="Table20">
    <w:basedOn w:val="TableNormal"/>
    <w:pPr>
      <w:spacing w:after="0" w:line="240" w:lineRule="auto"/>
    </w:pPr>
    <w:tblPr>
      <w:tblStyleRowBandSize w:val="1"/>
      <w:tblStyleColBandSize w:val="1"/>
      <w:tblCellMar>
        <w:top w:w="0.0" w:type="dxa"/>
        <w:left w:w="108.0" w:type="dxa"/>
        <w:bottom w:w="0.0" w:type="dxa"/>
        <w:right w:w="108.0" w:type="dxa"/>
      </w:tblCellMar>
    </w:tblPr>
    <w:tblStylePr w:type="band1Horz">
      <w:tcPr>
        <w:tcBorders>
          <w:insideH w:color="000000" w:space="0" w:sz="0" w:val="nil"/>
          <w:insideV w:color="000000" w:space="0" w:sz="0" w:val="nil"/>
        </w:tcBorders>
        <w:shd w:fill="d2eaf0" w:val="clear"/>
      </w:tcPr>
    </w:tblStylePr>
    <w:tblStylePr w:type="band1Vert">
      <w:tcPr>
        <w:shd w:fill="d2eaf0" w:val="clear"/>
      </w:tcPr>
    </w:tblStylePr>
    <w:tblStylePr w:type="band2Horz">
      <w:tcPr>
        <w:tcBorders>
          <w:insideH w:color="000000" w:space="0" w:sz="0" w:val="nil"/>
          <w:insideV w:color="000000" w:space="0" w:sz="0" w:val="nil"/>
        </w:tcBorders>
      </w:tcPr>
    </w:tblStylePr>
    <w:tblStylePr w:type="firstCol">
      <w:rPr>
        <w:b w:val="1"/>
        <w:bCs w:val="1"/>
      </w:rPr>
    </w:tblStylePr>
    <w:tblStylePr w:type="firstRow">
      <w:pPr>
        <w:spacing w:after="0" w:before="0" w:line="240" w:lineRule="auto"/>
      </w:pPr>
      <w:rPr>
        <w:b w:val="1"/>
        <w:bCs w:val="1"/>
        <w:color w:val="ffffff"/>
      </w:rPr>
      <w:tcPr>
        <w:tcBorders>
          <w:top w:color="78c0d4" w:space="0" w:sz="8" w:val="single"/>
          <w:left w:color="78c0d4" w:space="0" w:sz="8" w:val="single"/>
          <w:bottom w:color="78c0d4" w:space="0" w:sz="8" w:val="single"/>
          <w:right w:color="78c0d4" w:space="0" w:sz="8" w:val="single"/>
          <w:insideH w:color="000000" w:space="0" w:sz="0" w:val="nil"/>
          <w:insideV w:color="000000" w:space="0" w:sz="0" w:val="nil"/>
        </w:tcBorders>
        <w:shd w:fill="4bacc6" w:val="clear"/>
      </w:tcPr>
    </w:tblStylePr>
    <w:tblStylePr w:type="lastCol">
      <w:rPr>
        <w:b w:val="1"/>
        <w:bCs w:val="1"/>
      </w:rPr>
    </w:tblStylePr>
    <w:tblStylePr w:type="lastRow">
      <w:pPr>
        <w:spacing w:after="0" w:before="0" w:line="240" w:lineRule="auto"/>
      </w:pPr>
      <w:rPr>
        <w:b w:val="1"/>
        <w:bCs w:val="1"/>
      </w:rPr>
      <w:tcPr>
        <w:tcBorders>
          <w:top w:color="78c0d4" w:space="0" w:sz="6" w:val="single"/>
          <w:left w:color="78c0d4" w:space="0" w:sz="8" w:val="single"/>
          <w:bottom w:color="78c0d4" w:space="0" w:sz="8" w:val="single"/>
          <w:right w:color="78c0d4" w:space="0" w:sz="8" w:val="single"/>
          <w:insideH w:color="000000" w:space="0" w:sz="0" w:val="nil"/>
          <w:insideV w:color="000000" w:space="0" w:sz="0" w:val="nil"/>
        </w:tcBorders>
      </w:tcPr>
    </w:tblStyle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72.0" w:type="dxa"/>
        <w:left w:w="115.0" w:type="dxa"/>
        <w:bottom w:w="72.0" w:type="dxa"/>
        <w:right w:w="115.0" w:type="dxa"/>
      </w:tblCellMar>
    </w:tblPr>
  </w:style>
  <w:style w:type="table" w:styleId="Table2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1.png"/><Relationship Id="rId10" Type="http://schemas.openxmlformats.org/officeDocument/2006/relationships/image" Target="media/image4.png"/><Relationship Id="rId13" Type="http://schemas.openxmlformats.org/officeDocument/2006/relationships/footer" Target="footer1.xml"/><Relationship Id="rId12"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pn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O41kuuOuR6IDr6y5yD2GP+Z/gw==">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2020-01-13T12:22:00Z</dcterms:created>
  <dc:creator>Vanderborght, Fanny</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0x010100DE636F880DEC244D9534A71CA31097A6</vt:lpwstr>
  </property>
</Properties>
</file>